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tabs>
          <w:tab w:val="left" w:pos="315"/>
          <w:tab w:val="left" w:pos="8820"/>
        </w:tabs>
        <w:spacing w:line="500" w:lineRule="exact"/>
        <w:ind w:right="267" w:rightChars="127"/>
        <w:rPr>
          <w:rFonts w:hint="eastAsia" w:ascii="宋体" w:hAnsi="宋体"/>
          <w:b/>
          <w:bCs/>
          <w:spacing w:val="36"/>
          <w:sz w:val="32"/>
          <w:szCs w:val="32"/>
          <w14:shadow w14:blurRad="50800" w14:dist="38100" w14:dir="2700000" w14:sx="100000" w14:sy="100000" w14:kx="0" w14:ky="0" w14:algn="tl">
            <w14:srgbClr w14:val="000000">
              <w14:alpha w14:val="60000"/>
            </w14:srgbClr>
          </w14:shadow>
        </w:rPr>
      </w:pPr>
    </w:p>
    <w:p>
      <w:pPr>
        <w:tabs>
          <w:tab w:val="left" w:pos="315"/>
          <w:tab w:val="left" w:pos="8820"/>
        </w:tabs>
        <w:spacing w:line="500" w:lineRule="exact"/>
        <w:ind w:right="267" w:rightChars="127"/>
        <w:jc w:val="center"/>
        <w:rPr>
          <w:rFonts w:hint="eastAsia" w:ascii="宋体" w:hAnsi="宋体"/>
          <w:b/>
          <w:bCs/>
          <w:spacing w:val="36"/>
          <w:sz w:val="32"/>
          <w:szCs w:val="32"/>
          <w14:shadow w14:blurRad="50800" w14:dist="38100" w14:dir="2700000" w14:sx="100000" w14:sy="100000" w14:kx="0" w14:ky="0" w14:algn="tl">
            <w14:srgbClr w14:val="000000">
              <w14:alpha w14:val="60000"/>
            </w14:srgbClr>
          </w14:shadow>
        </w:rPr>
      </w:pPr>
    </w:p>
    <w:p>
      <w:pPr>
        <w:spacing w:line="360" w:lineRule="auto"/>
        <w:ind w:firstLine="512" w:firstLineChars="98"/>
        <w:jc w:val="center"/>
        <w:rPr>
          <w:rFonts w:hint="eastAsia"/>
          <w:b/>
          <w:sz w:val="52"/>
          <w:szCs w:val="52"/>
        </w:rPr>
      </w:pPr>
      <w:r>
        <w:rPr>
          <w:rFonts w:hint="eastAsia"/>
          <w:b/>
          <w:sz w:val="52"/>
          <w:szCs w:val="52"/>
        </w:rPr>
        <w:t xml:space="preserve"> 项目前期物业管理</w:t>
      </w:r>
    </w:p>
    <w:p>
      <w:pPr>
        <w:rPr>
          <w:rFonts w:hint="eastAsia"/>
          <w:b/>
          <w:sz w:val="52"/>
          <w:szCs w:val="52"/>
        </w:rPr>
      </w:pPr>
    </w:p>
    <w:p>
      <w:pPr>
        <w:rPr>
          <w:rFonts w:hint="eastAsia"/>
          <w:b/>
          <w:sz w:val="52"/>
          <w:szCs w:val="52"/>
        </w:rPr>
      </w:pPr>
    </w:p>
    <w:p>
      <w:pPr>
        <w:rPr>
          <w:rFonts w:hint="eastAsia"/>
          <w:b/>
          <w:sz w:val="52"/>
          <w:szCs w:val="52"/>
        </w:rPr>
      </w:pPr>
    </w:p>
    <w:p>
      <w:pPr>
        <w:jc w:val="center"/>
        <w:rPr>
          <w:rFonts w:hint="eastAsia"/>
          <w:b/>
          <w:sz w:val="84"/>
          <w:szCs w:val="84"/>
        </w:rPr>
      </w:pPr>
      <w:r>
        <w:rPr>
          <w:rFonts w:hint="eastAsia"/>
          <w:b/>
          <w:sz w:val="84"/>
          <w:szCs w:val="84"/>
        </w:rPr>
        <w:t>招 标 文 件</w:t>
      </w:r>
    </w:p>
    <w:p>
      <w:pPr>
        <w:jc w:val="center"/>
        <w:rPr>
          <w:rFonts w:hint="eastAsia"/>
          <w:sz w:val="72"/>
          <w:szCs w:val="72"/>
        </w:rPr>
      </w:pPr>
    </w:p>
    <w:p>
      <w:pPr>
        <w:jc w:val="center"/>
        <w:rPr>
          <w:rFonts w:hint="eastAsia"/>
          <w:sz w:val="72"/>
          <w:szCs w:val="72"/>
        </w:rPr>
      </w:pPr>
    </w:p>
    <w:p>
      <w:pPr>
        <w:jc w:val="center"/>
        <w:rPr>
          <w:rFonts w:hint="eastAsia"/>
          <w:sz w:val="72"/>
          <w:szCs w:val="72"/>
        </w:rPr>
      </w:pPr>
    </w:p>
    <w:p>
      <w:pPr>
        <w:jc w:val="center"/>
        <w:rPr>
          <w:rFonts w:hint="eastAsia"/>
          <w:sz w:val="72"/>
          <w:szCs w:val="72"/>
        </w:rPr>
      </w:pPr>
    </w:p>
    <w:p>
      <w:pPr>
        <w:jc w:val="center"/>
        <w:rPr>
          <w:rFonts w:hint="eastAsia"/>
          <w:sz w:val="72"/>
          <w:szCs w:val="72"/>
        </w:rPr>
      </w:pPr>
    </w:p>
    <w:p>
      <w:pPr>
        <w:pStyle w:val="18"/>
        <w:spacing w:line="600" w:lineRule="auto"/>
        <w:ind w:firstLine="2088" w:firstLineChars="650"/>
        <w:rPr>
          <w:rFonts w:hint="eastAsia" w:ascii="宋体" w:hAnsi="宋体" w:eastAsia="黑体"/>
          <w:sz w:val="32"/>
          <w:szCs w:val="32"/>
          <w:lang w:eastAsia="zh-CN"/>
        </w:rPr>
      </w:pPr>
      <w:r>
        <w:rPr>
          <w:rFonts w:hint="eastAsia" w:ascii="宋体" w:hAnsi="宋体" w:eastAsia="宋体"/>
          <w:sz w:val="32"/>
          <w:szCs w:val="32"/>
        </w:rPr>
        <w:t>招  标  人:</w:t>
      </w:r>
      <w:r>
        <w:rPr>
          <w:rFonts w:hint="eastAsia"/>
        </w:rPr>
        <w:t xml:space="preserve"> </w:t>
      </w:r>
      <w:r>
        <w:rPr>
          <w:rFonts w:hint="eastAsia"/>
          <w:lang w:eastAsia="zh-CN"/>
        </w:rPr>
        <w:t>安徽国翠玉艺股份有限公司</w:t>
      </w:r>
    </w:p>
    <w:p>
      <w:pPr>
        <w:pStyle w:val="18"/>
        <w:rPr>
          <w:rFonts w:hint="eastAsia" w:ascii="宋体" w:hAnsi="宋体" w:eastAsia="宋体"/>
          <w:sz w:val="32"/>
        </w:rPr>
      </w:pPr>
    </w:p>
    <w:p>
      <w:pPr>
        <w:pStyle w:val="18"/>
        <w:rPr>
          <w:rFonts w:hint="eastAsia" w:ascii="宋体" w:hAnsi="宋体" w:eastAsia="宋体"/>
          <w:sz w:val="32"/>
        </w:rPr>
      </w:pPr>
    </w:p>
    <w:p>
      <w:pPr>
        <w:pStyle w:val="18"/>
        <w:spacing w:line="360" w:lineRule="auto"/>
        <w:jc w:val="center"/>
        <w:rPr>
          <w:rFonts w:ascii="宋体" w:hAnsi="宋体" w:eastAsia="宋体"/>
          <w:sz w:val="32"/>
          <w:szCs w:val="32"/>
          <w:highlight w:val="none"/>
        </w:rPr>
      </w:pPr>
      <w:r>
        <w:rPr>
          <w:rFonts w:hint="eastAsia" w:ascii="宋体" w:hAnsi="宋体" w:eastAsia="宋体"/>
          <w:sz w:val="32"/>
          <w:szCs w:val="32"/>
          <w:highlight w:val="none"/>
        </w:rPr>
        <w:t xml:space="preserve">2022年 </w:t>
      </w:r>
      <w:r>
        <w:rPr>
          <w:rFonts w:hint="eastAsia" w:ascii="宋体" w:hAnsi="宋体" w:eastAsia="宋体"/>
          <w:sz w:val="32"/>
          <w:szCs w:val="32"/>
          <w:highlight w:val="none"/>
          <w:lang w:val="en-US" w:eastAsia="zh-CN"/>
        </w:rPr>
        <w:t>7</w:t>
      </w:r>
      <w:r>
        <w:rPr>
          <w:rFonts w:hint="eastAsia" w:ascii="宋体" w:hAnsi="宋体" w:eastAsia="宋体"/>
          <w:sz w:val="32"/>
          <w:szCs w:val="32"/>
          <w:highlight w:val="none"/>
        </w:rPr>
        <w:t>月</w:t>
      </w:r>
      <w:r>
        <w:rPr>
          <w:rFonts w:hint="eastAsia" w:ascii="宋体" w:hAnsi="宋体" w:eastAsia="宋体"/>
          <w:sz w:val="32"/>
          <w:szCs w:val="32"/>
          <w:highlight w:val="none"/>
          <w:lang w:val="en-US" w:eastAsia="zh-CN"/>
        </w:rPr>
        <w:t>21</w:t>
      </w:r>
      <w:r>
        <w:rPr>
          <w:rFonts w:hint="eastAsia" w:ascii="宋体" w:hAnsi="宋体" w:eastAsia="宋体"/>
          <w:sz w:val="32"/>
          <w:szCs w:val="32"/>
          <w:highlight w:val="none"/>
        </w:rPr>
        <w:t xml:space="preserve"> 日</w:t>
      </w:r>
    </w:p>
    <w:p>
      <w:pPr>
        <w:spacing w:line="500" w:lineRule="exact"/>
        <w:jc w:val="center"/>
        <w:rPr>
          <w:rFonts w:hint="eastAsia" w:ascii="仿宋_GB2312" w:eastAsia="仿宋_GB2312"/>
          <w:b/>
          <w:bCs/>
          <w:sz w:val="32"/>
        </w:rPr>
      </w:pPr>
    </w:p>
    <w:p>
      <w:pPr>
        <w:spacing w:line="500" w:lineRule="exact"/>
        <w:jc w:val="center"/>
        <w:rPr>
          <w:rFonts w:hint="eastAsia" w:ascii="仿宋_GB2312" w:eastAsia="仿宋_GB2312"/>
          <w:b/>
          <w:bCs/>
          <w:sz w:val="32"/>
        </w:rPr>
      </w:pPr>
    </w:p>
    <w:p>
      <w:pPr>
        <w:pStyle w:val="3"/>
        <w:spacing w:before="0" w:after="0" w:line="400" w:lineRule="exact"/>
        <w:jc w:val="center"/>
        <w:rPr>
          <w:rFonts w:hint="eastAsia" w:ascii="黑体" w:hAnsi="宋体" w:eastAsia="黑体"/>
          <w:sz w:val="32"/>
        </w:rPr>
      </w:pPr>
    </w:p>
    <w:p>
      <w:pPr>
        <w:pStyle w:val="3"/>
        <w:spacing w:before="0" w:after="0" w:line="400" w:lineRule="exact"/>
        <w:jc w:val="center"/>
        <w:rPr>
          <w:rFonts w:hint="eastAsia" w:ascii="黑体" w:hAnsi="宋体" w:eastAsia="黑体"/>
          <w:sz w:val="32"/>
        </w:rPr>
      </w:pPr>
    </w:p>
    <w:p>
      <w:pPr>
        <w:pStyle w:val="3"/>
        <w:spacing w:before="0" w:after="0" w:line="400" w:lineRule="exact"/>
        <w:jc w:val="center"/>
        <w:rPr>
          <w:rFonts w:hint="eastAsia" w:ascii="黑体" w:hAnsi="宋体" w:eastAsia="黑体"/>
          <w:sz w:val="32"/>
        </w:rPr>
      </w:pPr>
    </w:p>
    <w:p>
      <w:pPr>
        <w:pStyle w:val="3"/>
        <w:spacing w:before="0" w:after="0" w:line="360" w:lineRule="auto"/>
        <w:jc w:val="center"/>
        <w:rPr>
          <w:rFonts w:hint="eastAsia" w:ascii="黑体" w:hAnsi="宋体" w:eastAsia="黑体"/>
          <w:sz w:val="32"/>
        </w:rPr>
      </w:pPr>
      <w:r>
        <w:rPr>
          <w:rFonts w:hint="eastAsia" w:ascii="黑体" w:hAnsi="宋体" w:eastAsia="黑体"/>
          <w:sz w:val="32"/>
        </w:rPr>
        <w:t>目  录</w:t>
      </w:r>
    </w:p>
    <w:p>
      <w:pPr>
        <w:pStyle w:val="41"/>
        <w:tabs>
          <w:tab w:val="right" w:leader="dot" w:pos="9403"/>
        </w:tabs>
        <w:spacing w:line="360" w:lineRule="auto"/>
        <w:rPr>
          <w:rFonts w:ascii="宋体" w:hAnsi="宋体"/>
          <w:smallCaps w:val="0"/>
          <w:szCs w:val="28"/>
        </w:rPr>
      </w:pPr>
      <w:bookmarkStart w:id="0" w:name="_Hlt519045295"/>
      <w:bookmarkEnd w:id="0"/>
      <w:bookmarkStart w:id="1" w:name="_Hlt526418134"/>
      <w:bookmarkEnd w:id="1"/>
      <w:bookmarkStart w:id="2" w:name="_Hlt533241375"/>
      <w:bookmarkEnd w:id="2"/>
      <w:r>
        <w:rPr>
          <w:rFonts w:hint="eastAsia" w:ascii="宋体" w:hAnsi="宋体"/>
          <w:szCs w:val="28"/>
        </w:rPr>
        <w:fldChar w:fldCharType="begin"/>
      </w:r>
      <w:r>
        <w:rPr>
          <w:rStyle w:val="56"/>
          <w:rFonts w:hint="eastAsia" w:ascii="宋体" w:hAnsi="宋体"/>
          <w:color w:val="auto"/>
          <w:szCs w:val="28"/>
        </w:rPr>
        <w:instrText xml:space="preserve"> TOC \o "1-3" \h \z </w:instrText>
      </w:r>
      <w:r>
        <w:rPr>
          <w:rFonts w:hint="eastAsia" w:ascii="宋体" w:hAnsi="宋体"/>
          <w:szCs w:val="28"/>
        </w:rPr>
        <w:fldChar w:fldCharType="separate"/>
      </w:r>
      <w:r>
        <w:rPr>
          <w:rFonts w:ascii="宋体" w:hAnsi="宋体"/>
          <w:szCs w:val="28"/>
        </w:rPr>
        <w:fldChar w:fldCharType="begin"/>
      </w:r>
      <w:r>
        <w:rPr>
          <w:rStyle w:val="56"/>
          <w:rFonts w:ascii="宋体" w:hAnsi="宋体"/>
          <w:color w:val="auto"/>
          <w:szCs w:val="28"/>
        </w:rPr>
        <w:instrText xml:space="preserve"> </w:instrText>
      </w:r>
      <w:r>
        <w:rPr>
          <w:rFonts w:ascii="宋体" w:hAnsi="宋体"/>
          <w:szCs w:val="28"/>
        </w:rPr>
        <w:instrText xml:space="preserve">HYPERLINK \l "_Toc504073347"</w:instrText>
      </w:r>
      <w:r>
        <w:rPr>
          <w:rStyle w:val="56"/>
          <w:rFonts w:ascii="宋体" w:hAnsi="宋体"/>
          <w:color w:val="auto"/>
          <w:szCs w:val="28"/>
        </w:rPr>
        <w:instrText xml:space="preserve"> </w:instrText>
      </w:r>
      <w:r>
        <w:rPr>
          <w:rFonts w:ascii="宋体" w:hAnsi="宋体"/>
          <w:szCs w:val="28"/>
        </w:rPr>
        <w:fldChar w:fldCharType="separate"/>
      </w:r>
      <w:r>
        <w:rPr>
          <w:rStyle w:val="56"/>
          <w:rFonts w:hint="eastAsia" w:ascii="宋体" w:hAnsi="宋体"/>
          <w:color w:val="auto"/>
          <w:szCs w:val="28"/>
        </w:rPr>
        <w:t>第一章</w:t>
      </w:r>
      <w:r>
        <w:rPr>
          <w:rStyle w:val="56"/>
          <w:rFonts w:ascii="宋体" w:hAnsi="宋体"/>
          <w:color w:val="auto"/>
          <w:szCs w:val="28"/>
        </w:rPr>
        <w:t xml:space="preserve"> </w:t>
      </w:r>
      <w:r>
        <w:rPr>
          <w:rStyle w:val="56"/>
          <w:rFonts w:hint="eastAsia" w:ascii="宋体" w:hAnsi="宋体"/>
          <w:color w:val="auto"/>
          <w:szCs w:val="28"/>
        </w:rPr>
        <w:t>招标公告</w:t>
      </w:r>
      <w:r>
        <w:rPr>
          <w:rFonts w:ascii="宋体" w:hAnsi="宋体"/>
          <w:szCs w:val="28"/>
        </w:rPr>
        <w:tab/>
      </w:r>
      <w:r>
        <w:rPr>
          <w:rFonts w:ascii="宋体" w:hAnsi="宋体"/>
          <w:szCs w:val="28"/>
        </w:rPr>
        <w:fldChar w:fldCharType="begin"/>
      </w:r>
      <w:r>
        <w:rPr>
          <w:rFonts w:ascii="宋体" w:hAnsi="宋体"/>
          <w:szCs w:val="28"/>
        </w:rPr>
        <w:instrText xml:space="preserve"> PAGEREF _Toc504073347 \h </w:instrText>
      </w:r>
      <w:r>
        <w:rPr>
          <w:rFonts w:ascii="宋体" w:hAnsi="宋体"/>
          <w:szCs w:val="28"/>
        </w:rPr>
        <w:fldChar w:fldCharType="separate"/>
      </w:r>
      <w:r>
        <w:rPr>
          <w:rFonts w:ascii="宋体" w:hAnsi="宋体"/>
          <w:szCs w:val="28"/>
        </w:rPr>
        <w:t>3</w:t>
      </w:r>
      <w:r>
        <w:rPr>
          <w:rFonts w:ascii="宋体" w:hAnsi="宋体"/>
          <w:szCs w:val="28"/>
        </w:rPr>
        <w:fldChar w:fldCharType="end"/>
      </w:r>
      <w:r>
        <w:rPr>
          <w:rFonts w:ascii="宋体" w:hAnsi="宋体"/>
          <w:szCs w:val="28"/>
        </w:rPr>
        <w:fldChar w:fldCharType="end"/>
      </w:r>
    </w:p>
    <w:p>
      <w:pPr>
        <w:pStyle w:val="41"/>
        <w:tabs>
          <w:tab w:val="right" w:leader="dot" w:pos="9403"/>
        </w:tabs>
        <w:spacing w:line="360" w:lineRule="auto"/>
        <w:rPr>
          <w:rFonts w:ascii="宋体" w:hAnsi="宋体"/>
          <w:smallCaps w:val="0"/>
          <w:szCs w:val="28"/>
        </w:rPr>
      </w:pPr>
      <w:r>
        <w:rPr>
          <w:rFonts w:ascii="宋体" w:hAnsi="宋体"/>
          <w:szCs w:val="28"/>
        </w:rPr>
        <w:fldChar w:fldCharType="begin"/>
      </w:r>
      <w:r>
        <w:rPr>
          <w:rStyle w:val="56"/>
          <w:rFonts w:ascii="宋体" w:hAnsi="宋体"/>
          <w:color w:val="auto"/>
          <w:szCs w:val="28"/>
        </w:rPr>
        <w:instrText xml:space="preserve"> </w:instrText>
      </w:r>
      <w:r>
        <w:rPr>
          <w:rFonts w:ascii="宋体" w:hAnsi="宋体"/>
          <w:szCs w:val="28"/>
        </w:rPr>
        <w:instrText xml:space="preserve">HYPERLINK \l "_Toc504073348"</w:instrText>
      </w:r>
      <w:r>
        <w:rPr>
          <w:rStyle w:val="56"/>
          <w:rFonts w:ascii="宋体" w:hAnsi="宋体"/>
          <w:color w:val="auto"/>
          <w:szCs w:val="28"/>
        </w:rPr>
        <w:instrText xml:space="preserve"> </w:instrText>
      </w:r>
      <w:r>
        <w:rPr>
          <w:rFonts w:ascii="宋体" w:hAnsi="宋体"/>
          <w:szCs w:val="28"/>
        </w:rPr>
        <w:fldChar w:fldCharType="separate"/>
      </w:r>
      <w:r>
        <w:rPr>
          <w:rStyle w:val="56"/>
          <w:rFonts w:hint="eastAsia" w:ascii="宋体" w:hAnsi="宋体"/>
          <w:color w:val="auto"/>
          <w:szCs w:val="28"/>
        </w:rPr>
        <w:t>第二章</w:t>
      </w:r>
      <w:r>
        <w:rPr>
          <w:rStyle w:val="56"/>
          <w:rFonts w:ascii="宋体" w:hAnsi="宋体"/>
          <w:color w:val="auto"/>
          <w:szCs w:val="28"/>
        </w:rPr>
        <w:t xml:space="preserve"> </w:t>
      </w:r>
      <w:r>
        <w:rPr>
          <w:rStyle w:val="56"/>
          <w:rFonts w:hint="eastAsia" w:ascii="宋体" w:hAnsi="宋体"/>
          <w:color w:val="auto"/>
          <w:szCs w:val="28"/>
        </w:rPr>
        <w:t>投标人须知前附表</w:t>
      </w:r>
      <w:r>
        <w:rPr>
          <w:rFonts w:ascii="宋体" w:hAnsi="宋体"/>
          <w:szCs w:val="28"/>
        </w:rPr>
        <w:tab/>
      </w:r>
      <w:r>
        <w:rPr>
          <w:rFonts w:hint="eastAsia" w:ascii="宋体" w:hAnsi="宋体"/>
          <w:szCs w:val="28"/>
        </w:rPr>
        <w:t>5</w:t>
      </w:r>
      <w:r>
        <w:rPr>
          <w:rFonts w:ascii="宋体" w:hAnsi="宋体"/>
          <w:szCs w:val="28"/>
        </w:rPr>
        <w:fldChar w:fldCharType="end"/>
      </w:r>
    </w:p>
    <w:p>
      <w:pPr>
        <w:pStyle w:val="41"/>
        <w:tabs>
          <w:tab w:val="right" w:leader="dot" w:pos="9403"/>
        </w:tabs>
        <w:spacing w:line="360" w:lineRule="auto"/>
        <w:rPr>
          <w:rFonts w:ascii="宋体" w:hAnsi="宋体"/>
          <w:smallCaps w:val="0"/>
          <w:szCs w:val="28"/>
        </w:rPr>
      </w:pPr>
      <w:r>
        <w:rPr>
          <w:rFonts w:ascii="宋体" w:hAnsi="宋体"/>
          <w:szCs w:val="28"/>
        </w:rPr>
        <w:fldChar w:fldCharType="begin"/>
      </w:r>
      <w:r>
        <w:rPr>
          <w:rStyle w:val="56"/>
          <w:rFonts w:ascii="宋体" w:hAnsi="宋体"/>
          <w:color w:val="auto"/>
          <w:szCs w:val="28"/>
        </w:rPr>
        <w:instrText xml:space="preserve"> </w:instrText>
      </w:r>
      <w:r>
        <w:rPr>
          <w:rFonts w:ascii="宋体" w:hAnsi="宋体"/>
          <w:szCs w:val="28"/>
        </w:rPr>
        <w:instrText xml:space="preserve">HYPERLINK \l "_Toc504073349"</w:instrText>
      </w:r>
      <w:r>
        <w:rPr>
          <w:rStyle w:val="56"/>
          <w:rFonts w:ascii="宋体" w:hAnsi="宋体"/>
          <w:color w:val="auto"/>
          <w:szCs w:val="28"/>
        </w:rPr>
        <w:instrText xml:space="preserve"> </w:instrText>
      </w:r>
      <w:r>
        <w:rPr>
          <w:rFonts w:ascii="宋体" w:hAnsi="宋体"/>
          <w:szCs w:val="28"/>
        </w:rPr>
        <w:fldChar w:fldCharType="separate"/>
      </w:r>
      <w:r>
        <w:rPr>
          <w:rStyle w:val="56"/>
          <w:rFonts w:hint="eastAsia" w:ascii="宋体" w:hAnsi="宋体"/>
          <w:color w:val="auto"/>
          <w:szCs w:val="28"/>
        </w:rPr>
        <w:t>第三章</w:t>
      </w:r>
      <w:r>
        <w:rPr>
          <w:rStyle w:val="56"/>
          <w:rFonts w:ascii="宋体" w:hAnsi="宋体"/>
          <w:color w:val="auto"/>
          <w:szCs w:val="28"/>
        </w:rPr>
        <w:t xml:space="preserve"> </w:t>
      </w:r>
      <w:r>
        <w:rPr>
          <w:rStyle w:val="56"/>
          <w:rFonts w:hint="eastAsia" w:ascii="宋体" w:hAnsi="宋体"/>
          <w:color w:val="auto"/>
          <w:szCs w:val="28"/>
        </w:rPr>
        <w:t>招标需求</w:t>
      </w:r>
      <w:r>
        <w:rPr>
          <w:rFonts w:ascii="宋体" w:hAnsi="宋体"/>
          <w:szCs w:val="28"/>
        </w:rPr>
        <w:tab/>
      </w:r>
      <w:r>
        <w:rPr>
          <w:rFonts w:ascii="宋体" w:hAnsi="宋体"/>
          <w:szCs w:val="28"/>
        </w:rPr>
        <w:fldChar w:fldCharType="begin"/>
      </w:r>
      <w:r>
        <w:rPr>
          <w:rFonts w:ascii="宋体" w:hAnsi="宋体"/>
          <w:szCs w:val="28"/>
        </w:rPr>
        <w:instrText xml:space="preserve"> PAGEREF _Toc504073349 \h </w:instrText>
      </w:r>
      <w:r>
        <w:rPr>
          <w:rFonts w:ascii="宋体" w:hAnsi="宋体"/>
          <w:szCs w:val="28"/>
        </w:rPr>
        <w:fldChar w:fldCharType="separate"/>
      </w:r>
      <w:r>
        <w:rPr>
          <w:rFonts w:ascii="宋体" w:hAnsi="宋体"/>
          <w:szCs w:val="28"/>
        </w:rPr>
        <w:t>7</w:t>
      </w:r>
      <w:r>
        <w:rPr>
          <w:rFonts w:ascii="宋体" w:hAnsi="宋体"/>
          <w:szCs w:val="28"/>
        </w:rPr>
        <w:fldChar w:fldCharType="end"/>
      </w:r>
      <w:r>
        <w:rPr>
          <w:rFonts w:ascii="宋体" w:hAnsi="宋体"/>
          <w:szCs w:val="28"/>
        </w:rPr>
        <w:fldChar w:fldCharType="end"/>
      </w:r>
    </w:p>
    <w:p>
      <w:pPr>
        <w:pStyle w:val="41"/>
        <w:tabs>
          <w:tab w:val="right" w:leader="dot" w:pos="9403"/>
        </w:tabs>
        <w:spacing w:line="360" w:lineRule="auto"/>
        <w:rPr>
          <w:rFonts w:hint="eastAsia" w:ascii="宋体" w:hAnsi="宋体"/>
          <w:szCs w:val="28"/>
        </w:rPr>
      </w:pPr>
      <w:r>
        <w:rPr>
          <w:rFonts w:ascii="宋体" w:hAnsi="宋体"/>
          <w:szCs w:val="28"/>
        </w:rPr>
        <w:fldChar w:fldCharType="begin"/>
      </w:r>
      <w:r>
        <w:rPr>
          <w:rStyle w:val="56"/>
          <w:rFonts w:ascii="宋体" w:hAnsi="宋体"/>
          <w:color w:val="auto"/>
          <w:szCs w:val="28"/>
        </w:rPr>
        <w:instrText xml:space="preserve"> </w:instrText>
      </w:r>
      <w:r>
        <w:rPr>
          <w:rFonts w:ascii="宋体" w:hAnsi="宋体"/>
          <w:szCs w:val="28"/>
        </w:rPr>
        <w:instrText xml:space="preserve">HYPERLINK \l "_Toc504073349"</w:instrText>
      </w:r>
      <w:r>
        <w:rPr>
          <w:rStyle w:val="56"/>
          <w:rFonts w:ascii="宋体" w:hAnsi="宋体"/>
          <w:color w:val="auto"/>
          <w:szCs w:val="28"/>
        </w:rPr>
        <w:instrText xml:space="preserve"> </w:instrText>
      </w:r>
      <w:r>
        <w:rPr>
          <w:rFonts w:ascii="宋体" w:hAnsi="宋体"/>
          <w:szCs w:val="28"/>
        </w:rPr>
        <w:fldChar w:fldCharType="separate"/>
      </w:r>
      <w:r>
        <w:rPr>
          <w:rStyle w:val="56"/>
          <w:rFonts w:hint="eastAsia" w:ascii="宋体" w:hAnsi="宋体"/>
          <w:color w:val="auto"/>
          <w:szCs w:val="28"/>
        </w:rPr>
        <w:t>第四章</w:t>
      </w:r>
      <w:r>
        <w:rPr>
          <w:rStyle w:val="56"/>
          <w:rFonts w:ascii="宋体" w:hAnsi="宋体"/>
          <w:color w:val="auto"/>
          <w:szCs w:val="28"/>
        </w:rPr>
        <w:t xml:space="preserve"> </w:t>
      </w:r>
      <w:r>
        <w:rPr>
          <w:rStyle w:val="56"/>
          <w:rFonts w:hint="eastAsia" w:ascii="宋体" w:hAnsi="宋体"/>
          <w:color w:val="auto"/>
          <w:szCs w:val="28"/>
        </w:rPr>
        <w:t>评标办法</w:t>
      </w:r>
      <w:r>
        <w:rPr>
          <w:rFonts w:ascii="宋体" w:hAnsi="宋体"/>
          <w:szCs w:val="28"/>
        </w:rPr>
        <w:tab/>
      </w:r>
      <w:r>
        <w:rPr>
          <w:rFonts w:hint="eastAsia" w:ascii="宋体" w:hAnsi="宋体"/>
          <w:szCs w:val="28"/>
        </w:rPr>
        <w:t>1</w:t>
      </w:r>
      <w:r>
        <w:rPr>
          <w:rFonts w:ascii="宋体" w:hAnsi="宋体"/>
          <w:szCs w:val="28"/>
        </w:rPr>
        <w:fldChar w:fldCharType="end"/>
      </w:r>
      <w:r>
        <w:rPr>
          <w:rFonts w:hint="eastAsia" w:ascii="宋体" w:hAnsi="宋体"/>
          <w:szCs w:val="28"/>
        </w:rPr>
        <w:t>2</w:t>
      </w:r>
    </w:p>
    <w:p>
      <w:pPr>
        <w:pStyle w:val="33"/>
        <w:tabs>
          <w:tab w:val="right" w:leader="dot" w:pos="9403"/>
        </w:tabs>
        <w:spacing w:line="360" w:lineRule="auto"/>
        <w:rPr>
          <w:rFonts w:hint="eastAsia" w:ascii="宋体" w:hAnsi="宋体"/>
          <w:caps w:val="0"/>
          <w:sz w:val="28"/>
          <w:szCs w:val="28"/>
        </w:rPr>
      </w:pPr>
      <w:r>
        <w:rPr>
          <w:rFonts w:ascii="宋体" w:hAnsi="宋体"/>
          <w:sz w:val="28"/>
          <w:szCs w:val="28"/>
        </w:rPr>
        <w:fldChar w:fldCharType="begin"/>
      </w:r>
      <w:r>
        <w:rPr>
          <w:rStyle w:val="56"/>
          <w:rFonts w:ascii="宋体" w:hAnsi="宋体"/>
          <w:color w:val="auto"/>
          <w:sz w:val="28"/>
          <w:szCs w:val="28"/>
        </w:rPr>
        <w:instrText xml:space="preserve"> </w:instrText>
      </w:r>
      <w:r>
        <w:rPr>
          <w:rFonts w:ascii="宋体" w:hAnsi="宋体"/>
          <w:sz w:val="28"/>
          <w:szCs w:val="28"/>
        </w:rPr>
        <w:instrText xml:space="preserve">HYPERLINK \l "_Toc504073350"</w:instrText>
      </w:r>
      <w:r>
        <w:rPr>
          <w:rStyle w:val="56"/>
          <w:rFonts w:ascii="宋体" w:hAnsi="宋体"/>
          <w:color w:val="auto"/>
          <w:sz w:val="28"/>
          <w:szCs w:val="28"/>
        </w:rPr>
        <w:instrText xml:space="preserve"> </w:instrText>
      </w:r>
      <w:r>
        <w:rPr>
          <w:rFonts w:ascii="宋体" w:hAnsi="宋体"/>
          <w:sz w:val="28"/>
          <w:szCs w:val="28"/>
        </w:rPr>
        <w:fldChar w:fldCharType="separate"/>
      </w:r>
      <w:r>
        <w:rPr>
          <w:rStyle w:val="56"/>
          <w:rFonts w:hint="eastAsia" w:ascii="宋体" w:hAnsi="宋体"/>
          <w:color w:val="auto"/>
          <w:sz w:val="28"/>
          <w:szCs w:val="28"/>
        </w:rPr>
        <w:t>招标文件第二部分</w:t>
      </w:r>
      <w:r>
        <w:rPr>
          <w:rFonts w:ascii="宋体" w:hAnsi="宋体"/>
          <w:sz w:val="28"/>
          <w:szCs w:val="28"/>
        </w:rPr>
        <w:tab/>
      </w:r>
      <w:r>
        <w:rPr>
          <w:rFonts w:hint="eastAsia" w:ascii="宋体" w:hAnsi="宋体"/>
          <w:sz w:val="28"/>
          <w:szCs w:val="28"/>
        </w:rPr>
        <w:t>2</w:t>
      </w:r>
      <w:r>
        <w:rPr>
          <w:rFonts w:ascii="宋体" w:hAnsi="宋体"/>
          <w:sz w:val="28"/>
          <w:szCs w:val="28"/>
        </w:rPr>
        <w:fldChar w:fldCharType="end"/>
      </w:r>
      <w:r>
        <w:rPr>
          <w:rFonts w:hint="eastAsia" w:ascii="宋体" w:hAnsi="宋体"/>
          <w:sz w:val="28"/>
          <w:szCs w:val="28"/>
        </w:rPr>
        <w:t>0</w:t>
      </w:r>
    </w:p>
    <w:p>
      <w:pPr>
        <w:pStyle w:val="41"/>
        <w:tabs>
          <w:tab w:val="right" w:leader="dot" w:pos="9403"/>
        </w:tabs>
        <w:spacing w:line="360" w:lineRule="auto"/>
        <w:rPr>
          <w:rFonts w:hint="eastAsia" w:ascii="宋体" w:hAnsi="宋体"/>
          <w:smallCaps w:val="0"/>
          <w:szCs w:val="28"/>
        </w:rPr>
      </w:pPr>
      <w:r>
        <w:rPr>
          <w:rFonts w:ascii="宋体" w:hAnsi="宋体"/>
          <w:szCs w:val="28"/>
        </w:rPr>
        <w:fldChar w:fldCharType="begin"/>
      </w:r>
      <w:r>
        <w:rPr>
          <w:rStyle w:val="56"/>
          <w:rFonts w:ascii="宋体" w:hAnsi="宋体"/>
          <w:color w:val="auto"/>
          <w:szCs w:val="28"/>
        </w:rPr>
        <w:instrText xml:space="preserve"> </w:instrText>
      </w:r>
      <w:r>
        <w:rPr>
          <w:rFonts w:ascii="宋体" w:hAnsi="宋体"/>
          <w:szCs w:val="28"/>
        </w:rPr>
        <w:instrText xml:space="preserve">HYPERLINK \l "_Toc504073351"</w:instrText>
      </w:r>
      <w:r>
        <w:rPr>
          <w:rStyle w:val="56"/>
          <w:rFonts w:ascii="宋体" w:hAnsi="宋体"/>
          <w:color w:val="auto"/>
          <w:szCs w:val="28"/>
        </w:rPr>
        <w:instrText xml:space="preserve"> </w:instrText>
      </w:r>
      <w:r>
        <w:rPr>
          <w:rFonts w:ascii="宋体" w:hAnsi="宋体"/>
          <w:szCs w:val="28"/>
        </w:rPr>
        <w:fldChar w:fldCharType="separate"/>
      </w:r>
      <w:r>
        <w:rPr>
          <w:rStyle w:val="56"/>
          <w:rFonts w:hint="eastAsia" w:ascii="宋体" w:hAnsi="宋体"/>
          <w:color w:val="auto"/>
          <w:szCs w:val="28"/>
        </w:rPr>
        <w:t>第五章</w:t>
      </w:r>
      <w:r>
        <w:rPr>
          <w:rStyle w:val="56"/>
          <w:rFonts w:ascii="宋体" w:hAnsi="宋体"/>
          <w:color w:val="auto"/>
          <w:szCs w:val="28"/>
        </w:rPr>
        <w:t xml:space="preserve"> </w:t>
      </w:r>
      <w:r>
        <w:rPr>
          <w:rStyle w:val="56"/>
          <w:rFonts w:hint="eastAsia" w:ascii="宋体" w:hAnsi="宋体"/>
          <w:color w:val="auto"/>
          <w:szCs w:val="28"/>
        </w:rPr>
        <w:t>投标人须知</w:t>
      </w:r>
      <w:r>
        <w:rPr>
          <w:rFonts w:ascii="宋体" w:hAnsi="宋体"/>
          <w:szCs w:val="28"/>
        </w:rPr>
        <w:tab/>
      </w:r>
      <w:r>
        <w:rPr>
          <w:rFonts w:hint="eastAsia" w:ascii="宋体" w:hAnsi="宋体"/>
          <w:szCs w:val="28"/>
        </w:rPr>
        <w:t>2</w:t>
      </w:r>
      <w:r>
        <w:rPr>
          <w:rFonts w:ascii="宋体" w:hAnsi="宋体"/>
          <w:szCs w:val="28"/>
        </w:rPr>
        <w:fldChar w:fldCharType="end"/>
      </w:r>
      <w:r>
        <w:rPr>
          <w:rFonts w:hint="eastAsia" w:ascii="宋体" w:hAnsi="宋体"/>
          <w:szCs w:val="28"/>
        </w:rPr>
        <w:t>0</w:t>
      </w:r>
    </w:p>
    <w:p>
      <w:pPr>
        <w:pStyle w:val="24"/>
        <w:tabs>
          <w:tab w:val="right" w:leader="dot" w:pos="9403"/>
        </w:tabs>
        <w:spacing w:line="360" w:lineRule="auto"/>
        <w:rPr>
          <w:rFonts w:hint="eastAsia" w:ascii="宋体" w:hAnsi="宋体"/>
          <w:i w:val="0"/>
          <w:iCs w:val="0"/>
          <w:sz w:val="28"/>
          <w:szCs w:val="28"/>
        </w:rPr>
      </w:pPr>
      <w:r>
        <w:rPr>
          <w:rFonts w:ascii="宋体" w:hAnsi="宋体"/>
          <w:i w:val="0"/>
          <w:sz w:val="28"/>
          <w:szCs w:val="28"/>
        </w:rPr>
        <w:fldChar w:fldCharType="begin"/>
      </w:r>
      <w:r>
        <w:rPr>
          <w:rStyle w:val="56"/>
          <w:rFonts w:ascii="宋体" w:hAnsi="宋体"/>
          <w:i w:val="0"/>
          <w:color w:val="auto"/>
          <w:sz w:val="28"/>
          <w:szCs w:val="28"/>
        </w:rPr>
        <w:instrText xml:space="preserve"> </w:instrText>
      </w:r>
      <w:r>
        <w:rPr>
          <w:rFonts w:ascii="宋体" w:hAnsi="宋体"/>
          <w:i w:val="0"/>
          <w:sz w:val="28"/>
          <w:szCs w:val="28"/>
        </w:rPr>
        <w:instrText xml:space="preserve">HYPERLINK \l "_Toc504073352"</w:instrText>
      </w:r>
      <w:r>
        <w:rPr>
          <w:rStyle w:val="56"/>
          <w:rFonts w:ascii="宋体" w:hAnsi="宋体"/>
          <w:i w:val="0"/>
          <w:color w:val="auto"/>
          <w:sz w:val="28"/>
          <w:szCs w:val="28"/>
        </w:rPr>
        <w:instrText xml:space="preserve"> </w:instrText>
      </w:r>
      <w:r>
        <w:rPr>
          <w:rFonts w:ascii="宋体" w:hAnsi="宋体"/>
          <w:i w:val="0"/>
          <w:sz w:val="28"/>
          <w:szCs w:val="28"/>
        </w:rPr>
        <w:fldChar w:fldCharType="separate"/>
      </w:r>
      <w:r>
        <w:rPr>
          <w:rStyle w:val="56"/>
          <w:rFonts w:hint="eastAsia" w:ascii="宋体" w:hAnsi="宋体"/>
          <w:i w:val="0"/>
          <w:color w:val="auto"/>
          <w:sz w:val="28"/>
          <w:szCs w:val="28"/>
        </w:rPr>
        <w:t>一．总</w:t>
      </w:r>
      <w:r>
        <w:rPr>
          <w:rStyle w:val="56"/>
          <w:rFonts w:ascii="宋体" w:hAnsi="宋体"/>
          <w:i w:val="0"/>
          <w:color w:val="auto"/>
          <w:sz w:val="28"/>
          <w:szCs w:val="28"/>
        </w:rPr>
        <w:t xml:space="preserve">    </w:t>
      </w:r>
      <w:r>
        <w:rPr>
          <w:rStyle w:val="56"/>
          <w:rFonts w:hint="eastAsia" w:ascii="宋体" w:hAnsi="宋体"/>
          <w:i w:val="0"/>
          <w:color w:val="auto"/>
          <w:sz w:val="28"/>
          <w:szCs w:val="28"/>
        </w:rPr>
        <w:t>则</w:t>
      </w:r>
      <w:r>
        <w:rPr>
          <w:rFonts w:ascii="宋体" w:hAnsi="宋体"/>
          <w:i w:val="0"/>
          <w:sz w:val="28"/>
          <w:szCs w:val="28"/>
        </w:rPr>
        <w:tab/>
      </w:r>
      <w:r>
        <w:rPr>
          <w:rFonts w:hint="eastAsia" w:ascii="宋体" w:hAnsi="宋体"/>
          <w:i w:val="0"/>
          <w:sz w:val="28"/>
          <w:szCs w:val="28"/>
        </w:rPr>
        <w:t>2</w:t>
      </w:r>
      <w:r>
        <w:rPr>
          <w:rFonts w:ascii="宋体" w:hAnsi="宋体"/>
          <w:i w:val="0"/>
          <w:sz w:val="28"/>
          <w:szCs w:val="28"/>
        </w:rPr>
        <w:fldChar w:fldCharType="end"/>
      </w:r>
      <w:r>
        <w:rPr>
          <w:rFonts w:hint="eastAsia" w:ascii="宋体" w:hAnsi="宋体"/>
          <w:i w:val="0"/>
          <w:sz w:val="28"/>
          <w:szCs w:val="28"/>
        </w:rPr>
        <w:t>0</w:t>
      </w:r>
    </w:p>
    <w:p>
      <w:pPr>
        <w:pStyle w:val="24"/>
        <w:tabs>
          <w:tab w:val="right" w:leader="dot" w:pos="9403"/>
        </w:tabs>
        <w:spacing w:line="360" w:lineRule="auto"/>
        <w:rPr>
          <w:rFonts w:ascii="宋体" w:hAnsi="宋体"/>
          <w:i w:val="0"/>
          <w:iCs w:val="0"/>
          <w:sz w:val="28"/>
          <w:szCs w:val="28"/>
        </w:rPr>
      </w:pPr>
      <w:r>
        <w:rPr>
          <w:rFonts w:ascii="宋体" w:hAnsi="宋体"/>
          <w:i w:val="0"/>
          <w:sz w:val="28"/>
          <w:szCs w:val="28"/>
        </w:rPr>
        <w:fldChar w:fldCharType="begin"/>
      </w:r>
      <w:r>
        <w:rPr>
          <w:rStyle w:val="56"/>
          <w:rFonts w:ascii="宋体" w:hAnsi="宋体"/>
          <w:i w:val="0"/>
          <w:color w:val="auto"/>
          <w:sz w:val="28"/>
          <w:szCs w:val="28"/>
        </w:rPr>
        <w:instrText xml:space="preserve"> </w:instrText>
      </w:r>
      <w:r>
        <w:rPr>
          <w:rFonts w:ascii="宋体" w:hAnsi="宋体"/>
          <w:i w:val="0"/>
          <w:sz w:val="28"/>
          <w:szCs w:val="28"/>
        </w:rPr>
        <w:instrText xml:space="preserve">HYPERLINK \l "_Toc504073353"</w:instrText>
      </w:r>
      <w:r>
        <w:rPr>
          <w:rStyle w:val="56"/>
          <w:rFonts w:ascii="宋体" w:hAnsi="宋体"/>
          <w:i w:val="0"/>
          <w:color w:val="auto"/>
          <w:sz w:val="28"/>
          <w:szCs w:val="28"/>
        </w:rPr>
        <w:instrText xml:space="preserve"> </w:instrText>
      </w:r>
      <w:r>
        <w:rPr>
          <w:rFonts w:ascii="宋体" w:hAnsi="宋体"/>
          <w:i w:val="0"/>
          <w:sz w:val="28"/>
          <w:szCs w:val="28"/>
        </w:rPr>
        <w:fldChar w:fldCharType="separate"/>
      </w:r>
      <w:r>
        <w:rPr>
          <w:rStyle w:val="56"/>
          <w:rFonts w:hint="eastAsia" w:ascii="宋体" w:hAnsi="宋体"/>
          <w:i w:val="0"/>
          <w:color w:val="auto"/>
          <w:sz w:val="28"/>
          <w:szCs w:val="28"/>
        </w:rPr>
        <w:t>二．招标文件</w:t>
      </w:r>
      <w:r>
        <w:rPr>
          <w:rFonts w:ascii="宋体" w:hAnsi="宋体"/>
          <w:i w:val="0"/>
          <w:sz w:val="28"/>
          <w:szCs w:val="28"/>
        </w:rPr>
        <w:tab/>
      </w:r>
      <w:r>
        <w:rPr>
          <w:rFonts w:ascii="宋体" w:hAnsi="宋体"/>
          <w:i w:val="0"/>
          <w:sz w:val="28"/>
          <w:szCs w:val="28"/>
        </w:rPr>
        <w:fldChar w:fldCharType="begin"/>
      </w:r>
      <w:r>
        <w:rPr>
          <w:rFonts w:ascii="宋体" w:hAnsi="宋体"/>
          <w:i w:val="0"/>
          <w:sz w:val="28"/>
          <w:szCs w:val="28"/>
        </w:rPr>
        <w:instrText xml:space="preserve"> PAGEREF _Toc504073353 \h </w:instrText>
      </w:r>
      <w:r>
        <w:rPr>
          <w:rFonts w:ascii="宋体" w:hAnsi="宋体"/>
          <w:i w:val="0"/>
          <w:sz w:val="28"/>
          <w:szCs w:val="28"/>
        </w:rPr>
        <w:fldChar w:fldCharType="separate"/>
      </w:r>
      <w:r>
        <w:rPr>
          <w:rFonts w:ascii="宋体" w:hAnsi="宋体"/>
          <w:i w:val="0"/>
          <w:sz w:val="28"/>
          <w:szCs w:val="28"/>
        </w:rPr>
        <w:t>23</w:t>
      </w:r>
      <w:r>
        <w:rPr>
          <w:rFonts w:ascii="宋体" w:hAnsi="宋体"/>
          <w:i w:val="0"/>
          <w:sz w:val="28"/>
          <w:szCs w:val="28"/>
        </w:rPr>
        <w:fldChar w:fldCharType="end"/>
      </w:r>
      <w:r>
        <w:rPr>
          <w:rFonts w:ascii="宋体" w:hAnsi="宋体"/>
          <w:i w:val="0"/>
          <w:sz w:val="28"/>
          <w:szCs w:val="28"/>
        </w:rPr>
        <w:fldChar w:fldCharType="end"/>
      </w:r>
    </w:p>
    <w:p>
      <w:pPr>
        <w:pStyle w:val="24"/>
        <w:tabs>
          <w:tab w:val="right" w:leader="dot" w:pos="9403"/>
        </w:tabs>
        <w:spacing w:line="360" w:lineRule="auto"/>
        <w:rPr>
          <w:rFonts w:ascii="宋体" w:hAnsi="宋体"/>
          <w:i w:val="0"/>
          <w:iCs w:val="0"/>
          <w:sz w:val="28"/>
          <w:szCs w:val="28"/>
        </w:rPr>
      </w:pPr>
      <w:r>
        <w:rPr>
          <w:rFonts w:ascii="宋体" w:hAnsi="宋体"/>
          <w:i w:val="0"/>
          <w:sz w:val="28"/>
          <w:szCs w:val="28"/>
        </w:rPr>
        <w:fldChar w:fldCharType="begin"/>
      </w:r>
      <w:r>
        <w:rPr>
          <w:rStyle w:val="56"/>
          <w:rFonts w:ascii="宋体" w:hAnsi="宋体"/>
          <w:i w:val="0"/>
          <w:color w:val="auto"/>
          <w:sz w:val="28"/>
          <w:szCs w:val="28"/>
        </w:rPr>
        <w:instrText xml:space="preserve"> </w:instrText>
      </w:r>
      <w:r>
        <w:rPr>
          <w:rFonts w:ascii="宋体" w:hAnsi="宋体"/>
          <w:i w:val="0"/>
          <w:sz w:val="28"/>
          <w:szCs w:val="28"/>
        </w:rPr>
        <w:instrText xml:space="preserve">HYPERLINK \l "_Toc504073354"</w:instrText>
      </w:r>
      <w:r>
        <w:rPr>
          <w:rStyle w:val="56"/>
          <w:rFonts w:ascii="宋体" w:hAnsi="宋体"/>
          <w:i w:val="0"/>
          <w:color w:val="auto"/>
          <w:sz w:val="28"/>
          <w:szCs w:val="28"/>
        </w:rPr>
        <w:instrText xml:space="preserve"> </w:instrText>
      </w:r>
      <w:r>
        <w:rPr>
          <w:rFonts w:ascii="宋体" w:hAnsi="宋体"/>
          <w:i w:val="0"/>
          <w:sz w:val="28"/>
          <w:szCs w:val="28"/>
        </w:rPr>
        <w:fldChar w:fldCharType="separate"/>
      </w:r>
      <w:r>
        <w:rPr>
          <w:rStyle w:val="56"/>
          <w:rFonts w:hint="eastAsia" w:ascii="宋体" w:hAnsi="宋体"/>
          <w:i w:val="0"/>
          <w:color w:val="auto"/>
          <w:sz w:val="28"/>
          <w:szCs w:val="28"/>
        </w:rPr>
        <w:t>三．投标文件的编制</w:t>
      </w:r>
      <w:r>
        <w:rPr>
          <w:rFonts w:ascii="宋体" w:hAnsi="宋体"/>
          <w:i w:val="0"/>
          <w:sz w:val="28"/>
          <w:szCs w:val="28"/>
        </w:rPr>
        <w:tab/>
      </w:r>
      <w:r>
        <w:rPr>
          <w:rFonts w:ascii="宋体" w:hAnsi="宋体"/>
          <w:i w:val="0"/>
          <w:sz w:val="28"/>
          <w:szCs w:val="28"/>
        </w:rPr>
        <w:fldChar w:fldCharType="begin"/>
      </w:r>
      <w:r>
        <w:rPr>
          <w:rFonts w:ascii="宋体" w:hAnsi="宋体"/>
          <w:i w:val="0"/>
          <w:sz w:val="28"/>
          <w:szCs w:val="28"/>
        </w:rPr>
        <w:instrText xml:space="preserve"> PAGEREF _Toc504073354 \h </w:instrText>
      </w:r>
      <w:r>
        <w:rPr>
          <w:rFonts w:ascii="宋体" w:hAnsi="宋体"/>
          <w:i w:val="0"/>
          <w:sz w:val="28"/>
          <w:szCs w:val="28"/>
        </w:rPr>
        <w:fldChar w:fldCharType="separate"/>
      </w:r>
      <w:r>
        <w:rPr>
          <w:rFonts w:ascii="宋体" w:hAnsi="宋体"/>
          <w:i w:val="0"/>
          <w:sz w:val="28"/>
          <w:szCs w:val="28"/>
        </w:rPr>
        <w:t>25</w:t>
      </w:r>
      <w:r>
        <w:rPr>
          <w:rFonts w:ascii="宋体" w:hAnsi="宋体"/>
          <w:i w:val="0"/>
          <w:sz w:val="28"/>
          <w:szCs w:val="28"/>
        </w:rPr>
        <w:fldChar w:fldCharType="end"/>
      </w:r>
      <w:r>
        <w:rPr>
          <w:rFonts w:ascii="宋体" w:hAnsi="宋体"/>
          <w:i w:val="0"/>
          <w:sz w:val="28"/>
          <w:szCs w:val="28"/>
        </w:rPr>
        <w:fldChar w:fldCharType="end"/>
      </w:r>
    </w:p>
    <w:p>
      <w:pPr>
        <w:pStyle w:val="24"/>
        <w:tabs>
          <w:tab w:val="right" w:leader="dot" w:pos="9403"/>
        </w:tabs>
        <w:spacing w:line="360" w:lineRule="auto"/>
        <w:rPr>
          <w:rFonts w:ascii="宋体" w:hAnsi="宋体"/>
          <w:i w:val="0"/>
          <w:iCs w:val="0"/>
          <w:sz w:val="28"/>
          <w:szCs w:val="28"/>
        </w:rPr>
      </w:pPr>
      <w:r>
        <w:rPr>
          <w:rFonts w:ascii="宋体" w:hAnsi="宋体"/>
          <w:i w:val="0"/>
          <w:sz w:val="28"/>
          <w:szCs w:val="28"/>
        </w:rPr>
        <w:fldChar w:fldCharType="begin"/>
      </w:r>
      <w:r>
        <w:rPr>
          <w:rStyle w:val="56"/>
          <w:rFonts w:ascii="宋体" w:hAnsi="宋体"/>
          <w:i w:val="0"/>
          <w:color w:val="auto"/>
          <w:sz w:val="28"/>
          <w:szCs w:val="28"/>
        </w:rPr>
        <w:instrText xml:space="preserve"> </w:instrText>
      </w:r>
      <w:r>
        <w:rPr>
          <w:rFonts w:ascii="宋体" w:hAnsi="宋体"/>
          <w:i w:val="0"/>
          <w:sz w:val="28"/>
          <w:szCs w:val="28"/>
        </w:rPr>
        <w:instrText xml:space="preserve">HYPERLINK \l "_Toc504073355"</w:instrText>
      </w:r>
      <w:r>
        <w:rPr>
          <w:rStyle w:val="56"/>
          <w:rFonts w:ascii="宋体" w:hAnsi="宋体"/>
          <w:i w:val="0"/>
          <w:color w:val="auto"/>
          <w:sz w:val="28"/>
          <w:szCs w:val="28"/>
        </w:rPr>
        <w:instrText xml:space="preserve"> </w:instrText>
      </w:r>
      <w:r>
        <w:rPr>
          <w:rFonts w:ascii="宋体" w:hAnsi="宋体"/>
          <w:i w:val="0"/>
          <w:sz w:val="28"/>
          <w:szCs w:val="28"/>
        </w:rPr>
        <w:fldChar w:fldCharType="separate"/>
      </w:r>
      <w:r>
        <w:rPr>
          <w:rStyle w:val="56"/>
          <w:rFonts w:hint="eastAsia" w:ascii="宋体" w:hAnsi="宋体"/>
          <w:i w:val="0"/>
          <w:color w:val="auto"/>
          <w:sz w:val="28"/>
          <w:szCs w:val="28"/>
        </w:rPr>
        <w:t>四．投标文件的递交</w:t>
      </w:r>
      <w:r>
        <w:rPr>
          <w:rFonts w:ascii="宋体" w:hAnsi="宋体"/>
          <w:i w:val="0"/>
          <w:sz w:val="28"/>
          <w:szCs w:val="28"/>
        </w:rPr>
        <w:tab/>
      </w:r>
      <w:r>
        <w:rPr>
          <w:rFonts w:ascii="宋体" w:hAnsi="宋体"/>
          <w:i w:val="0"/>
          <w:sz w:val="28"/>
          <w:szCs w:val="28"/>
        </w:rPr>
        <w:fldChar w:fldCharType="begin"/>
      </w:r>
      <w:r>
        <w:rPr>
          <w:rFonts w:ascii="宋体" w:hAnsi="宋体"/>
          <w:i w:val="0"/>
          <w:sz w:val="28"/>
          <w:szCs w:val="28"/>
        </w:rPr>
        <w:instrText xml:space="preserve"> PAGEREF _Toc504073355 \h </w:instrText>
      </w:r>
      <w:r>
        <w:rPr>
          <w:rFonts w:ascii="宋体" w:hAnsi="宋体"/>
          <w:i w:val="0"/>
          <w:sz w:val="28"/>
          <w:szCs w:val="28"/>
        </w:rPr>
        <w:fldChar w:fldCharType="separate"/>
      </w:r>
      <w:r>
        <w:rPr>
          <w:rFonts w:ascii="宋体" w:hAnsi="宋体"/>
          <w:i w:val="0"/>
          <w:sz w:val="28"/>
          <w:szCs w:val="28"/>
        </w:rPr>
        <w:t>2</w:t>
      </w:r>
      <w:r>
        <w:rPr>
          <w:rFonts w:hint="eastAsia" w:ascii="宋体" w:hAnsi="宋体"/>
          <w:i w:val="0"/>
          <w:sz w:val="28"/>
          <w:szCs w:val="28"/>
          <w:lang w:val="en-US" w:eastAsia="zh-CN"/>
        </w:rPr>
        <w:t>4</w:t>
      </w:r>
      <w:r>
        <w:rPr>
          <w:rFonts w:ascii="宋体" w:hAnsi="宋体"/>
          <w:i w:val="0"/>
          <w:sz w:val="28"/>
          <w:szCs w:val="28"/>
        </w:rPr>
        <w:fldChar w:fldCharType="end"/>
      </w:r>
      <w:r>
        <w:rPr>
          <w:rFonts w:ascii="宋体" w:hAnsi="宋体"/>
          <w:i w:val="0"/>
          <w:sz w:val="28"/>
          <w:szCs w:val="28"/>
        </w:rPr>
        <w:fldChar w:fldCharType="end"/>
      </w:r>
    </w:p>
    <w:p>
      <w:pPr>
        <w:pStyle w:val="24"/>
        <w:tabs>
          <w:tab w:val="right" w:leader="dot" w:pos="9403"/>
        </w:tabs>
        <w:spacing w:line="360" w:lineRule="auto"/>
        <w:rPr>
          <w:rFonts w:hint="eastAsia" w:ascii="宋体" w:hAnsi="宋体" w:eastAsia="宋体"/>
          <w:i w:val="0"/>
          <w:iCs w:val="0"/>
          <w:sz w:val="28"/>
          <w:szCs w:val="28"/>
          <w:lang w:val="en-US" w:eastAsia="zh-CN"/>
        </w:rPr>
      </w:pPr>
      <w:r>
        <w:rPr>
          <w:rFonts w:ascii="宋体" w:hAnsi="宋体"/>
          <w:i w:val="0"/>
          <w:sz w:val="28"/>
          <w:szCs w:val="28"/>
        </w:rPr>
        <w:fldChar w:fldCharType="begin"/>
      </w:r>
      <w:r>
        <w:rPr>
          <w:rStyle w:val="56"/>
          <w:rFonts w:ascii="宋体" w:hAnsi="宋体"/>
          <w:i w:val="0"/>
          <w:color w:val="auto"/>
          <w:sz w:val="28"/>
          <w:szCs w:val="28"/>
        </w:rPr>
        <w:instrText xml:space="preserve"> </w:instrText>
      </w:r>
      <w:r>
        <w:rPr>
          <w:rFonts w:ascii="宋体" w:hAnsi="宋体"/>
          <w:i w:val="0"/>
          <w:sz w:val="28"/>
          <w:szCs w:val="28"/>
        </w:rPr>
        <w:instrText xml:space="preserve">HYPERLINK \l "_Toc504073356"</w:instrText>
      </w:r>
      <w:r>
        <w:rPr>
          <w:rStyle w:val="56"/>
          <w:rFonts w:ascii="宋体" w:hAnsi="宋体"/>
          <w:i w:val="0"/>
          <w:color w:val="auto"/>
          <w:sz w:val="28"/>
          <w:szCs w:val="28"/>
        </w:rPr>
        <w:instrText xml:space="preserve"> </w:instrText>
      </w:r>
      <w:r>
        <w:rPr>
          <w:rFonts w:ascii="宋体" w:hAnsi="宋体"/>
          <w:i w:val="0"/>
          <w:sz w:val="28"/>
          <w:szCs w:val="28"/>
        </w:rPr>
        <w:fldChar w:fldCharType="separate"/>
      </w:r>
      <w:r>
        <w:rPr>
          <w:rStyle w:val="56"/>
          <w:rFonts w:hint="eastAsia" w:ascii="宋体" w:hAnsi="宋体"/>
          <w:i w:val="0"/>
          <w:color w:val="auto"/>
          <w:sz w:val="28"/>
          <w:szCs w:val="28"/>
        </w:rPr>
        <w:t>五．开标与评标</w:t>
      </w:r>
      <w:r>
        <w:rPr>
          <w:rFonts w:ascii="宋体" w:hAnsi="宋体"/>
          <w:i w:val="0"/>
          <w:sz w:val="28"/>
          <w:szCs w:val="28"/>
        </w:rPr>
        <w:tab/>
      </w:r>
      <w:r>
        <w:rPr>
          <w:rFonts w:hint="eastAsia" w:ascii="宋体" w:hAnsi="宋体"/>
          <w:i w:val="0"/>
          <w:sz w:val="28"/>
          <w:szCs w:val="28"/>
          <w:lang w:val="en-US" w:eastAsia="zh-CN"/>
        </w:rPr>
        <w:t>2</w:t>
      </w:r>
      <w:r>
        <w:rPr>
          <w:rFonts w:ascii="宋体" w:hAnsi="宋体"/>
          <w:i w:val="0"/>
          <w:sz w:val="28"/>
          <w:szCs w:val="28"/>
        </w:rPr>
        <w:fldChar w:fldCharType="end"/>
      </w:r>
      <w:r>
        <w:rPr>
          <w:rFonts w:hint="eastAsia" w:ascii="宋体" w:hAnsi="宋体"/>
          <w:i w:val="0"/>
          <w:sz w:val="28"/>
          <w:szCs w:val="28"/>
          <w:lang w:val="en-US" w:eastAsia="zh-CN"/>
        </w:rPr>
        <w:t>4</w:t>
      </w:r>
    </w:p>
    <w:p>
      <w:pPr>
        <w:pStyle w:val="24"/>
        <w:tabs>
          <w:tab w:val="right" w:leader="dot" w:pos="9403"/>
        </w:tabs>
        <w:spacing w:line="360" w:lineRule="auto"/>
        <w:rPr>
          <w:rFonts w:hint="eastAsia" w:ascii="宋体" w:hAnsi="宋体" w:eastAsia="宋体"/>
          <w:i w:val="0"/>
          <w:iCs w:val="0"/>
          <w:sz w:val="28"/>
          <w:szCs w:val="28"/>
          <w:lang w:val="en-US" w:eastAsia="zh-CN"/>
        </w:rPr>
      </w:pPr>
      <w:r>
        <w:rPr>
          <w:rFonts w:ascii="宋体" w:hAnsi="宋体"/>
          <w:i w:val="0"/>
          <w:sz w:val="28"/>
          <w:szCs w:val="28"/>
        </w:rPr>
        <w:fldChar w:fldCharType="begin"/>
      </w:r>
      <w:r>
        <w:rPr>
          <w:rStyle w:val="56"/>
          <w:rFonts w:ascii="宋体" w:hAnsi="宋体"/>
          <w:i w:val="0"/>
          <w:color w:val="auto"/>
          <w:sz w:val="28"/>
          <w:szCs w:val="28"/>
        </w:rPr>
        <w:instrText xml:space="preserve"> </w:instrText>
      </w:r>
      <w:r>
        <w:rPr>
          <w:rFonts w:ascii="宋体" w:hAnsi="宋体"/>
          <w:i w:val="0"/>
          <w:sz w:val="28"/>
          <w:szCs w:val="28"/>
        </w:rPr>
        <w:instrText xml:space="preserve">HYPERLINK \l "_Toc504073357"</w:instrText>
      </w:r>
      <w:r>
        <w:rPr>
          <w:rStyle w:val="56"/>
          <w:rFonts w:ascii="宋体" w:hAnsi="宋体"/>
          <w:i w:val="0"/>
          <w:color w:val="auto"/>
          <w:sz w:val="28"/>
          <w:szCs w:val="28"/>
        </w:rPr>
        <w:instrText xml:space="preserve"> </w:instrText>
      </w:r>
      <w:r>
        <w:rPr>
          <w:rFonts w:ascii="宋体" w:hAnsi="宋体"/>
          <w:i w:val="0"/>
          <w:sz w:val="28"/>
          <w:szCs w:val="28"/>
        </w:rPr>
        <w:fldChar w:fldCharType="separate"/>
      </w:r>
      <w:r>
        <w:rPr>
          <w:rStyle w:val="56"/>
          <w:rFonts w:hint="eastAsia" w:ascii="宋体" w:hAnsi="宋体"/>
          <w:i w:val="0"/>
          <w:color w:val="auto"/>
          <w:sz w:val="28"/>
          <w:szCs w:val="28"/>
        </w:rPr>
        <w:t>六．定标</w:t>
      </w:r>
      <w:r>
        <w:rPr>
          <w:rFonts w:ascii="宋体" w:hAnsi="宋体"/>
          <w:i w:val="0"/>
          <w:sz w:val="28"/>
          <w:szCs w:val="28"/>
        </w:rPr>
        <w:tab/>
      </w:r>
      <w:r>
        <w:rPr>
          <w:rFonts w:hint="eastAsia" w:ascii="宋体" w:hAnsi="宋体"/>
          <w:i w:val="0"/>
          <w:sz w:val="28"/>
          <w:szCs w:val="28"/>
          <w:lang w:val="en-US" w:eastAsia="zh-CN"/>
        </w:rPr>
        <w:t>2</w:t>
      </w:r>
      <w:r>
        <w:rPr>
          <w:rFonts w:ascii="宋体" w:hAnsi="宋体"/>
          <w:i w:val="0"/>
          <w:sz w:val="28"/>
          <w:szCs w:val="28"/>
        </w:rPr>
        <w:fldChar w:fldCharType="end"/>
      </w:r>
      <w:r>
        <w:rPr>
          <w:rFonts w:hint="eastAsia" w:ascii="宋体" w:hAnsi="宋体"/>
          <w:i w:val="0"/>
          <w:sz w:val="28"/>
          <w:szCs w:val="28"/>
          <w:lang w:val="en-US" w:eastAsia="zh-CN"/>
        </w:rPr>
        <w:t>7</w:t>
      </w:r>
    </w:p>
    <w:p>
      <w:pPr>
        <w:pStyle w:val="41"/>
        <w:tabs>
          <w:tab w:val="right" w:leader="dot" w:pos="9403"/>
        </w:tabs>
        <w:spacing w:line="360" w:lineRule="auto"/>
        <w:rPr>
          <w:rStyle w:val="56"/>
          <w:rFonts w:ascii="宋体" w:hAnsi="宋体"/>
          <w:color w:val="auto"/>
          <w:szCs w:val="28"/>
        </w:rPr>
        <w:sectPr>
          <w:headerReference r:id="rId3" w:type="default"/>
          <w:footerReference r:id="rId4" w:type="default"/>
          <w:footerReference r:id="rId5" w:type="even"/>
          <w:pgSz w:w="11907" w:h="16840"/>
          <w:pgMar w:top="1440" w:right="1247" w:bottom="1440" w:left="1247" w:header="851" w:footer="992" w:gutter="0"/>
          <w:cols w:space="720" w:num="1"/>
          <w:docGrid w:linePitch="303" w:charSpace="0"/>
        </w:sectPr>
      </w:pPr>
      <w:r>
        <w:rPr>
          <w:rFonts w:hint="eastAsia" w:ascii="宋体" w:hAnsi="宋体"/>
          <w:szCs w:val="28"/>
        </w:rPr>
        <w:fldChar w:fldCharType="end"/>
      </w:r>
    </w:p>
    <w:p>
      <w:pPr>
        <w:pStyle w:val="4"/>
        <w:spacing w:line="500" w:lineRule="exact"/>
        <w:rPr>
          <w:rFonts w:hint="eastAsia"/>
        </w:rPr>
      </w:pPr>
      <w:bookmarkStart w:id="3" w:name="_Toc504073347"/>
      <w:bookmarkStart w:id="4" w:name="_Hlt510343011"/>
      <w:bookmarkStart w:id="5" w:name="_Hlt510342998"/>
      <w:r>
        <w:rPr>
          <w:rFonts w:hint="eastAsia" w:ascii="宋体" w:hAnsi="宋体" w:eastAsia="宋体"/>
        </w:rPr>
        <w:t>第一章 招标公告</w:t>
      </w:r>
      <w:bookmarkEnd w:id="3"/>
    </w:p>
    <w:p>
      <w:pPr>
        <w:pStyle w:val="81"/>
        <w:widowControl w:val="0"/>
        <w:autoSpaceDE w:val="0"/>
        <w:autoSpaceDN w:val="0"/>
        <w:adjustRightInd w:val="0"/>
        <w:spacing w:before="0" w:after="0" w:line="360" w:lineRule="auto"/>
        <w:rPr>
          <w:rFonts w:hint="eastAsia" w:ascii="宋体" w:hAnsi="宋体" w:eastAsia="宋体"/>
          <w:kern w:val="2"/>
          <w:szCs w:val="18"/>
        </w:rPr>
      </w:pPr>
      <w:r>
        <w:rPr>
          <w:rFonts w:hint="eastAsia" w:ascii="宋体" w:hAnsi="宋体" w:eastAsia="宋体"/>
          <w:kern w:val="2"/>
          <w:szCs w:val="18"/>
        </w:rPr>
        <w:t>现对“</w:t>
      </w:r>
      <w:r>
        <w:rPr>
          <w:rFonts w:hint="eastAsia" w:ascii="宋体" w:hAnsi="宋体" w:eastAsia="宋体" w:cs="宋体"/>
          <w:sz w:val="24"/>
          <w:szCs w:val="24"/>
        </w:rPr>
        <w:t>桐城玉雕文化产业园</w:t>
      </w:r>
      <w:r>
        <w:rPr>
          <w:rFonts w:hint="eastAsia" w:ascii="宋体" w:hAnsi="宋体" w:eastAsia="宋体" w:cs="宋体"/>
          <w:bCs/>
          <w:sz w:val="24"/>
          <w:szCs w:val="18"/>
        </w:rPr>
        <w:t>前期物业管理</w:t>
      </w:r>
      <w:r>
        <w:rPr>
          <w:rFonts w:hint="eastAsia" w:ascii="宋体" w:hAnsi="宋体" w:eastAsia="宋体"/>
          <w:kern w:val="2"/>
          <w:szCs w:val="18"/>
        </w:rPr>
        <w:t>”进行国内</w:t>
      </w:r>
      <w:r>
        <w:rPr>
          <w:rFonts w:hint="eastAsia" w:ascii="宋体" w:hAnsi="宋体" w:eastAsia="宋体"/>
          <w:color w:val="000000"/>
          <w:kern w:val="2"/>
          <w:szCs w:val="18"/>
        </w:rPr>
        <w:t>公开招标</w:t>
      </w:r>
      <w:r>
        <w:rPr>
          <w:rFonts w:hint="eastAsia" w:ascii="宋体" w:hAnsi="宋体" w:eastAsia="宋体"/>
          <w:kern w:val="2"/>
          <w:szCs w:val="18"/>
        </w:rPr>
        <w:t>，欢迎具备条件的国内投标人参加投标。</w:t>
      </w:r>
    </w:p>
    <w:p>
      <w:pPr>
        <w:autoSpaceDE w:val="0"/>
        <w:autoSpaceDN w:val="0"/>
        <w:adjustRightInd w:val="0"/>
        <w:spacing w:line="360" w:lineRule="auto"/>
        <w:ind w:firstLine="200"/>
        <w:jc w:val="left"/>
        <w:rPr>
          <w:rFonts w:hint="eastAsia" w:ascii="宋体" w:hAnsi="宋体"/>
          <w:b/>
          <w:bCs/>
          <w:sz w:val="24"/>
          <w:szCs w:val="18"/>
        </w:rPr>
      </w:pPr>
      <w:r>
        <w:rPr>
          <w:rFonts w:hint="eastAsia" w:ascii="宋体" w:hAnsi="宋体"/>
          <w:b/>
          <w:bCs/>
          <w:sz w:val="24"/>
          <w:szCs w:val="18"/>
        </w:rPr>
        <w:t>一、招标项目名称及内容</w:t>
      </w:r>
    </w:p>
    <w:p>
      <w:pPr>
        <w:autoSpaceDE w:val="0"/>
        <w:autoSpaceDN w:val="0"/>
        <w:adjustRightInd w:val="0"/>
        <w:spacing w:line="360" w:lineRule="auto"/>
        <w:ind w:firstLine="200"/>
        <w:jc w:val="left"/>
        <w:rPr>
          <w:rFonts w:hint="eastAsia" w:ascii="宋体" w:hAnsi="宋体"/>
          <w:sz w:val="32"/>
          <w:szCs w:val="32"/>
        </w:rPr>
      </w:pPr>
      <w:r>
        <w:rPr>
          <w:rFonts w:hint="eastAsia" w:ascii="宋体" w:hAnsi="宋体"/>
          <w:bCs/>
          <w:sz w:val="24"/>
          <w:szCs w:val="18"/>
        </w:rPr>
        <w:t>1、项目名称 ：</w:t>
      </w:r>
      <w:r>
        <w:rPr>
          <w:rFonts w:hint="eastAsia" w:ascii="宋体" w:hAnsi="宋体"/>
          <w:sz w:val="24"/>
          <w:szCs w:val="24"/>
        </w:rPr>
        <w:t>桐城玉雕文化产业园</w:t>
      </w:r>
      <w:r>
        <w:rPr>
          <w:rFonts w:hint="eastAsia" w:ascii="宋体" w:hAnsi="宋体"/>
          <w:bCs/>
          <w:sz w:val="24"/>
          <w:szCs w:val="18"/>
        </w:rPr>
        <w:t>前期物业管理</w:t>
      </w:r>
      <w:r>
        <w:rPr>
          <w:rFonts w:hint="eastAsia" w:ascii="宋体" w:hAnsi="宋体"/>
          <w:sz w:val="32"/>
          <w:szCs w:val="32"/>
        </w:rPr>
        <w:t xml:space="preserve"> </w:t>
      </w:r>
    </w:p>
    <w:p>
      <w:pPr>
        <w:spacing w:line="360" w:lineRule="auto"/>
        <w:ind w:firstLine="240" w:firstLineChars="100"/>
        <w:rPr>
          <w:rFonts w:hint="eastAsia" w:ascii="宋体" w:hAnsi="宋体"/>
          <w:bCs/>
          <w:sz w:val="24"/>
          <w:szCs w:val="24"/>
        </w:rPr>
      </w:pPr>
      <w:r>
        <w:rPr>
          <w:rFonts w:hint="eastAsia" w:ascii="宋体" w:hAnsi="宋体"/>
          <w:bCs/>
          <w:sz w:val="24"/>
          <w:szCs w:val="18"/>
        </w:rPr>
        <w:t>2、项目地点：桐城市经开区</w:t>
      </w:r>
      <w:r>
        <w:rPr>
          <w:rFonts w:hint="eastAsia" w:ascii="宋体" w:hAnsi="宋体"/>
          <w:bCs/>
          <w:sz w:val="24"/>
          <w:szCs w:val="18"/>
          <w:lang w:val="en-US" w:eastAsia="zh-CN"/>
        </w:rPr>
        <w:t>龙池路</w:t>
      </w:r>
      <w:r>
        <w:rPr>
          <w:rFonts w:hint="eastAsia" w:ascii="宋体" w:hAnsi="宋体"/>
          <w:bCs/>
          <w:sz w:val="24"/>
          <w:szCs w:val="18"/>
        </w:rPr>
        <w:t>与和平东路交叉口</w:t>
      </w:r>
      <w:r>
        <w:rPr>
          <w:rFonts w:hint="eastAsia" w:ascii="宋体" w:hAnsi="宋体"/>
          <w:bCs/>
          <w:sz w:val="24"/>
          <w:szCs w:val="24"/>
        </w:rPr>
        <w:t xml:space="preserve"> </w:t>
      </w:r>
    </w:p>
    <w:p>
      <w:pPr>
        <w:spacing w:line="360" w:lineRule="auto"/>
        <w:ind w:firstLine="240" w:firstLineChars="100"/>
        <w:rPr>
          <w:rFonts w:hint="eastAsia" w:ascii="宋体" w:hAnsi="宋体"/>
          <w:bCs/>
          <w:sz w:val="24"/>
          <w:szCs w:val="18"/>
        </w:rPr>
      </w:pPr>
      <w:r>
        <w:rPr>
          <w:rFonts w:hint="eastAsia" w:ascii="宋体" w:hAnsi="宋体"/>
          <w:bCs/>
          <w:sz w:val="24"/>
          <w:szCs w:val="18"/>
        </w:rPr>
        <w:t>3、项目单位：</w:t>
      </w:r>
      <w:r>
        <w:rPr>
          <w:rFonts w:hint="eastAsia" w:ascii="宋体" w:hAnsi="宋体"/>
          <w:bCs/>
          <w:sz w:val="24"/>
          <w:szCs w:val="18"/>
          <w:lang w:eastAsia="zh-CN"/>
        </w:rPr>
        <w:t>安徽国翠玉艺股份有限公司</w:t>
      </w:r>
      <w:r>
        <w:rPr>
          <w:rFonts w:hint="eastAsia" w:ascii="宋体" w:hAnsi="宋体"/>
          <w:bCs/>
          <w:sz w:val="24"/>
          <w:szCs w:val="18"/>
        </w:rPr>
        <w:t xml:space="preserve"> </w:t>
      </w:r>
    </w:p>
    <w:p>
      <w:pPr>
        <w:autoSpaceDE w:val="0"/>
        <w:autoSpaceDN w:val="0"/>
        <w:adjustRightInd w:val="0"/>
        <w:spacing w:line="360" w:lineRule="auto"/>
        <w:ind w:firstLine="240" w:firstLineChars="100"/>
        <w:rPr>
          <w:rFonts w:hint="eastAsia" w:ascii="宋体" w:hAnsi="宋体"/>
          <w:sz w:val="24"/>
          <w:szCs w:val="28"/>
        </w:rPr>
      </w:pPr>
      <w:r>
        <w:rPr>
          <w:rFonts w:hint="eastAsia" w:ascii="宋体" w:hAnsi="宋体"/>
          <w:bCs/>
          <w:sz w:val="24"/>
          <w:szCs w:val="18"/>
        </w:rPr>
        <w:t>4、项目概况：“</w:t>
      </w:r>
      <w:r>
        <w:rPr>
          <w:rFonts w:hint="eastAsia" w:ascii="宋体" w:hAnsi="宋体"/>
          <w:sz w:val="24"/>
          <w:szCs w:val="24"/>
        </w:rPr>
        <w:t>桐城玉雕文化产业园</w:t>
      </w:r>
      <w:r>
        <w:rPr>
          <w:rFonts w:hint="eastAsia" w:ascii="宋体" w:hAnsi="宋体"/>
          <w:bCs/>
          <w:sz w:val="24"/>
          <w:szCs w:val="18"/>
        </w:rPr>
        <w:t>”</w:t>
      </w:r>
      <w:r>
        <w:rPr>
          <w:rFonts w:hint="eastAsia" w:ascii="宋体" w:hAnsi="宋体"/>
          <w:bCs/>
          <w:sz w:val="24"/>
          <w:szCs w:val="24"/>
        </w:rPr>
        <w:t>位于</w:t>
      </w:r>
      <w:r>
        <w:rPr>
          <w:rFonts w:hint="eastAsia" w:ascii="宋体" w:hAnsi="宋体"/>
          <w:bCs/>
          <w:sz w:val="24"/>
          <w:szCs w:val="18"/>
        </w:rPr>
        <w:t>桐城市经开区</w:t>
      </w:r>
      <w:r>
        <w:rPr>
          <w:rFonts w:hint="eastAsia" w:ascii="宋体" w:hAnsi="宋体"/>
          <w:bCs/>
          <w:sz w:val="24"/>
          <w:szCs w:val="18"/>
          <w:lang w:val="en-US" w:eastAsia="zh-CN"/>
        </w:rPr>
        <w:t>龙池路</w:t>
      </w:r>
      <w:r>
        <w:rPr>
          <w:rFonts w:hint="eastAsia" w:ascii="宋体" w:hAnsi="宋体"/>
          <w:bCs/>
          <w:sz w:val="24"/>
          <w:szCs w:val="18"/>
        </w:rPr>
        <w:t>与和平东路交叉口。本项目规划设计的物业类型为：住宅物业；</w:t>
      </w:r>
      <w:r>
        <w:rPr>
          <w:rFonts w:hint="eastAsia" w:ascii="宋体" w:hAnsi="宋体"/>
          <w:bCs/>
          <w:sz w:val="24"/>
          <w:szCs w:val="18"/>
          <w:lang w:val="en-US" w:eastAsia="zh-CN"/>
        </w:rPr>
        <w:t>一期</w:t>
      </w:r>
      <w:r>
        <w:rPr>
          <w:rFonts w:hint="eastAsia" w:ascii="宋体" w:hAnsi="宋体"/>
          <w:bCs/>
          <w:sz w:val="24"/>
          <w:szCs w:val="18"/>
        </w:rPr>
        <w:t>规划用地面积为</w:t>
      </w:r>
      <w:r>
        <w:rPr>
          <w:rFonts w:hint="eastAsia" w:ascii="宋体" w:hAnsi="宋体"/>
          <w:sz w:val="24"/>
          <w:szCs w:val="24"/>
          <w:lang w:val="en-US" w:eastAsia="zh-CN"/>
        </w:rPr>
        <w:t>46663.00</w:t>
      </w:r>
      <w:r>
        <w:rPr>
          <w:rFonts w:hint="eastAsia" w:ascii="宋体" w:hAnsi="宋体"/>
          <w:sz w:val="24"/>
          <w:szCs w:val="24"/>
        </w:rPr>
        <w:t>㎡</w:t>
      </w:r>
      <w:r>
        <w:rPr>
          <w:rFonts w:hint="eastAsia" w:ascii="宋体" w:hAnsi="宋体"/>
          <w:bCs/>
          <w:sz w:val="24"/>
          <w:szCs w:val="18"/>
        </w:rPr>
        <w:t>，总建筑面积为</w:t>
      </w:r>
      <w:r>
        <w:rPr>
          <w:rFonts w:hint="eastAsia" w:ascii="宋体" w:hAnsi="宋体"/>
          <w:bCs/>
          <w:sz w:val="24"/>
          <w:szCs w:val="18"/>
          <w:lang w:val="en-US" w:eastAsia="zh-CN"/>
        </w:rPr>
        <w:t>66361</w:t>
      </w:r>
      <w:r>
        <w:rPr>
          <w:rFonts w:hint="eastAsia" w:ascii="宋体" w:hAnsi="宋体"/>
          <w:bCs/>
          <w:sz w:val="24"/>
          <w:szCs w:val="18"/>
        </w:rPr>
        <w:t>.</w:t>
      </w:r>
      <w:r>
        <w:rPr>
          <w:rFonts w:hint="eastAsia" w:ascii="宋体" w:hAnsi="宋体"/>
          <w:bCs/>
          <w:sz w:val="24"/>
          <w:szCs w:val="18"/>
          <w:lang w:val="en-US" w:eastAsia="zh-CN"/>
        </w:rPr>
        <w:t>06</w:t>
      </w:r>
      <w:r>
        <w:rPr>
          <w:rFonts w:hint="eastAsia" w:ascii="宋体" w:hAnsi="宋体"/>
          <w:bCs/>
          <w:sz w:val="24"/>
          <w:szCs w:val="18"/>
        </w:rPr>
        <w:t>㎡</w:t>
      </w:r>
      <w:r>
        <w:rPr>
          <w:rFonts w:hint="eastAsia" w:ascii="宋体" w:hAnsi="宋体"/>
          <w:bCs/>
          <w:sz w:val="24"/>
          <w:szCs w:val="18"/>
          <w:lang w:eastAsia="zh-CN"/>
        </w:rPr>
        <w:t>，</w:t>
      </w:r>
      <w:r>
        <w:rPr>
          <w:rFonts w:hint="eastAsia" w:ascii="宋体" w:hAnsi="宋体"/>
          <w:bCs/>
          <w:sz w:val="24"/>
          <w:szCs w:val="18"/>
        </w:rPr>
        <w:t>容积率为1.</w:t>
      </w:r>
      <w:r>
        <w:rPr>
          <w:rFonts w:hint="eastAsia" w:ascii="宋体" w:hAnsi="宋体"/>
          <w:bCs/>
          <w:sz w:val="24"/>
          <w:szCs w:val="18"/>
          <w:lang w:val="en-US" w:eastAsia="zh-CN"/>
        </w:rPr>
        <w:t>5</w:t>
      </w:r>
      <w:r>
        <w:rPr>
          <w:rFonts w:hint="eastAsia" w:ascii="宋体" w:hAnsi="宋体"/>
          <w:bCs/>
          <w:sz w:val="24"/>
          <w:szCs w:val="18"/>
        </w:rPr>
        <w:t>， 绿化率</w:t>
      </w:r>
      <w:r>
        <w:rPr>
          <w:rFonts w:hint="eastAsia" w:ascii="宋体" w:hAnsi="宋体"/>
          <w:bCs/>
          <w:sz w:val="24"/>
          <w:szCs w:val="18"/>
          <w:lang w:val="en-US" w:eastAsia="zh-CN"/>
        </w:rPr>
        <w:t>2</w:t>
      </w:r>
      <w:r>
        <w:rPr>
          <w:rFonts w:hint="eastAsia" w:ascii="宋体" w:hAnsi="宋体"/>
          <w:bCs/>
          <w:sz w:val="24"/>
          <w:szCs w:val="18"/>
        </w:rPr>
        <w:t>0.0</w:t>
      </w:r>
      <w:r>
        <w:rPr>
          <w:rFonts w:hint="eastAsia" w:ascii="宋体" w:hAnsi="宋体"/>
          <w:bCs/>
          <w:sz w:val="24"/>
          <w:szCs w:val="18"/>
          <w:lang w:val="en-US" w:eastAsia="zh-CN"/>
        </w:rPr>
        <w:t>0</w:t>
      </w:r>
      <w:r>
        <w:rPr>
          <w:rFonts w:hint="eastAsia" w:ascii="宋体" w:hAnsi="宋体"/>
          <w:bCs/>
          <w:sz w:val="24"/>
          <w:szCs w:val="18"/>
        </w:rPr>
        <w:t>%</w:t>
      </w:r>
      <w:r>
        <w:rPr>
          <w:rFonts w:hint="eastAsia" w:ascii="宋体" w:hAnsi="宋体"/>
          <w:bCs/>
          <w:sz w:val="24"/>
          <w:szCs w:val="18"/>
          <w:lang w:eastAsia="zh-CN"/>
        </w:rPr>
        <w:t>；</w:t>
      </w:r>
      <w:r>
        <w:rPr>
          <w:rFonts w:hint="eastAsia" w:ascii="宋体" w:hAnsi="宋体"/>
          <w:bCs/>
          <w:sz w:val="24"/>
          <w:szCs w:val="18"/>
          <w:lang w:val="en-US" w:eastAsia="zh-CN"/>
        </w:rPr>
        <w:t>二期</w:t>
      </w:r>
      <w:r>
        <w:rPr>
          <w:rFonts w:hint="eastAsia" w:ascii="宋体" w:hAnsi="宋体"/>
          <w:bCs/>
          <w:sz w:val="24"/>
          <w:szCs w:val="18"/>
        </w:rPr>
        <w:t>规划用地面积为</w:t>
      </w:r>
      <w:r>
        <w:rPr>
          <w:rFonts w:hint="eastAsia" w:ascii="宋体" w:hAnsi="宋体"/>
          <w:sz w:val="24"/>
          <w:szCs w:val="24"/>
          <w:lang w:val="en-US" w:eastAsia="zh-CN"/>
        </w:rPr>
        <w:t>49495.80</w:t>
      </w:r>
      <w:r>
        <w:rPr>
          <w:rFonts w:hint="eastAsia" w:ascii="宋体" w:hAnsi="宋体"/>
          <w:sz w:val="24"/>
          <w:szCs w:val="24"/>
        </w:rPr>
        <w:t>㎡</w:t>
      </w:r>
      <w:r>
        <w:rPr>
          <w:rFonts w:hint="eastAsia" w:ascii="宋体" w:hAnsi="宋体"/>
          <w:bCs/>
          <w:sz w:val="24"/>
          <w:szCs w:val="18"/>
        </w:rPr>
        <w:t>，总建筑面积为</w:t>
      </w:r>
      <w:r>
        <w:rPr>
          <w:rFonts w:hint="eastAsia" w:ascii="宋体" w:hAnsi="宋体"/>
          <w:bCs/>
          <w:sz w:val="24"/>
          <w:szCs w:val="18"/>
          <w:lang w:val="en-US" w:eastAsia="zh-CN"/>
        </w:rPr>
        <w:t>79715</w:t>
      </w:r>
      <w:r>
        <w:rPr>
          <w:rFonts w:hint="eastAsia" w:ascii="宋体" w:hAnsi="宋体"/>
          <w:bCs/>
          <w:sz w:val="24"/>
          <w:szCs w:val="18"/>
        </w:rPr>
        <w:t>.</w:t>
      </w:r>
      <w:r>
        <w:rPr>
          <w:rFonts w:hint="eastAsia" w:ascii="宋体" w:hAnsi="宋体"/>
          <w:bCs/>
          <w:sz w:val="24"/>
          <w:szCs w:val="18"/>
          <w:lang w:val="en-US" w:eastAsia="zh-CN"/>
        </w:rPr>
        <w:t>23</w:t>
      </w:r>
      <w:r>
        <w:rPr>
          <w:rFonts w:hint="eastAsia" w:ascii="宋体" w:hAnsi="宋体"/>
          <w:bCs/>
          <w:sz w:val="24"/>
          <w:szCs w:val="18"/>
        </w:rPr>
        <w:t>㎡</w:t>
      </w:r>
      <w:r>
        <w:rPr>
          <w:rFonts w:hint="eastAsia" w:ascii="宋体" w:hAnsi="宋体"/>
          <w:bCs/>
          <w:sz w:val="24"/>
          <w:szCs w:val="18"/>
          <w:lang w:eastAsia="zh-CN"/>
        </w:rPr>
        <w:t>，</w:t>
      </w:r>
      <w:r>
        <w:rPr>
          <w:rFonts w:hint="eastAsia" w:ascii="宋体" w:hAnsi="宋体"/>
          <w:bCs/>
          <w:sz w:val="24"/>
          <w:szCs w:val="18"/>
        </w:rPr>
        <w:t>容积率为1.</w:t>
      </w:r>
      <w:r>
        <w:rPr>
          <w:rFonts w:hint="eastAsia" w:ascii="宋体" w:hAnsi="宋体"/>
          <w:bCs/>
          <w:sz w:val="24"/>
          <w:szCs w:val="18"/>
          <w:lang w:val="en-US" w:eastAsia="zh-CN"/>
        </w:rPr>
        <w:t>65</w:t>
      </w:r>
      <w:r>
        <w:rPr>
          <w:rFonts w:hint="eastAsia" w:ascii="宋体" w:hAnsi="宋体"/>
          <w:bCs/>
          <w:sz w:val="24"/>
          <w:szCs w:val="18"/>
        </w:rPr>
        <w:t>， 绿化率</w:t>
      </w:r>
      <w:r>
        <w:rPr>
          <w:rFonts w:hint="eastAsia" w:ascii="宋体" w:hAnsi="宋体"/>
          <w:bCs/>
          <w:sz w:val="24"/>
          <w:szCs w:val="18"/>
          <w:lang w:val="en-US" w:eastAsia="zh-CN"/>
        </w:rPr>
        <w:t>2</w:t>
      </w:r>
      <w:r>
        <w:rPr>
          <w:rFonts w:hint="eastAsia" w:ascii="宋体" w:hAnsi="宋体"/>
          <w:bCs/>
          <w:sz w:val="24"/>
          <w:szCs w:val="18"/>
        </w:rPr>
        <w:t>0.0</w:t>
      </w:r>
      <w:r>
        <w:rPr>
          <w:rFonts w:hint="eastAsia" w:ascii="宋体" w:hAnsi="宋体"/>
          <w:bCs/>
          <w:sz w:val="24"/>
          <w:szCs w:val="18"/>
          <w:lang w:val="en-US" w:eastAsia="zh-CN"/>
        </w:rPr>
        <w:t>0</w:t>
      </w:r>
      <w:r>
        <w:rPr>
          <w:rFonts w:hint="eastAsia" w:ascii="宋体" w:hAnsi="宋体"/>
          <w:bCs/>
          <w:sz w:val="24"/>
          <w:szCs w:val="18"/>
        </w:rPr>
        <w:t xml:space="preserve">% </w:t>
      </w:r>
      <w:r>
        <w:rPr>
          <w:rFonts w:hint="eastAsia" w:ascii="宋体" w:hAnsi="宋体"/>
          <w:bCs/>
          <w:sz w:val="24"/>
          <w:szCs w:val="18"/>
          <w:lang w:eastAsia="zh-CN"/>
        </w:rPr>
        <w:t>；</w:t>
      </w:r>
      <w:r>
        <w:rPr>
          <w:rFonts w:hint="eastAsia" w:ascii="宋体" w:hAnsi="宋体"/>
          <w:bCs/>
          <w:sz w:val="24"/>
          <w:szCs w:val="18"/>
        </w:rPr>
        <w:t>物管用房4</w:t>
      </w:r>
      <w:r>
        <w:rPr>
          <w:rFonts w:hint="eastAsia" w:ascii="宋体" w:hAnsi="宋体"/>
          <w:bCs/>
          <w:sz w:val="24"/>
          <w:szCs w:val="18"/>
          <w:lang w:val="en-US" w:eastAsia="zh-CN"/>
        </w:rPr>
        <w:t>68</w:t>
      </w:r>
      <w:r>
        <w:rPr>
          <w:rFonts w:hint="eastAsia" w:ascii="宋体" w:hAnsi="宋体"/>
          <w:bCs/>
          <w:sz w:val="24"/>
          <w:szCs w:val="18"/>
        </w:rPr>
        <w:t>.</w:t>
      </w:r>
      <w:r>
        <w:rPr>
          <w:rFonts w:hint="eastAsia" w:ascii="宋体" w:hAnsi="宋体"/>
          <w:bCs/>
          <w:sz w:val="24"/>
          <w:szCs w:val="18"/>
          <w:lang w:val="en-US" w:eastAsia="zh-CN"/>
        </w:rPr>
        <w:t>74</w:t>
      </w:r>
      <w:r>
        <w:rPr>
          <w:rFonts w:hint="eastAsia" w:ascii="宋体" w:hAnsi="宋体"/>
          <w:bCs/>
          <w:sz w:val="24"/>
          <w:szCs w:val="18"/>
        </w:rPr>
        <w:t xml:space="preserve">㎡ </w:t>
      </w:r>
      <w:r>
        <w:rPr>
          <w:rFonts w:hint="eastAsia" w:ascii="宋体" w:hAnsi="宋体"/>
          <w:bCs/>
          <w:sz w:val="24"/>
          <w:szCs w:val="18"/>
          <w:lang w:eastAsia="zh-CN"/>
        </w:rPr>
        <w:t>；</w:t>
      </w:r>
      <w:r>
        <w:rPr>
          <w:rFonts w:hint="eastAsia" w:ascii="宋体" w:hAnsi="宋体"/>
          <w:bCs/>
          <w:sz w:val="24"/>
          <w:szCs w:val="18"/>
        </w:rPr>
        <w:t>机动车位</w:t>
      </w:r>
      <w:r>
        <w:rPr>
          <w:rFonts w:hint="eastAsia" w:ascii="宋体" w:hAnsi="宋体"/>
          <w:bCs/>
          <w:sz w:val="24"/>
          <w:szCs w:val="18"/>
          <w:lang w:val="en-US" w:eastAsia="zh-CN"/>
        </w:rPr>
        <w:t>209</w:t>
      </w:r>
      <w:r>
        <w:rPr>
          <w:rFonts w:hint="eastAsia" w:ascii="宋体" w:hAnsi="宋体"/>
          <w:bCs/>
          <w:sz w:val="24"/>
          <w:szCs w:val="18"/>
        </w:rPr>
        <w:t>个，建筑密度为</w:t>
      </w:r>
      <w:r>
        <w:rPr>
          <w:rFonts w:hint="eastAsia" w:ascii="宋体" w:hAnsi="宋体"/>
          <w:bCs/>
          <w:sz w:val="24"/>
          <w:szCs w:val="18"/>
          <w:lang w:val="en-US" w:eastAsia="zh-CN"/>
        </w:rPr>
        <w:t>39</w:t>
      </w:r>
      <w:r>
        <w:rPr>
          <w:rFonts w:hint="eastAsia" w:ascii="宋体" w:hAnsi="宋体"/>
          <w:bCs/>
          <w:sz w:val="24"/>
          <w:szCs w:val="18"/>
        </w:rPr>
        <w:t>.</w:t>
      </w:r>
      <w:r>
        <w:rPr>
          <w:rFonts w:hint="eastAsia" w:ascii="宋体" w:hAnsi="宋体"/>
          <w:bCs/>
          <w:sz w:val="24"/>
          <w:szCs w:val="18"/>
          <w:lang w:val="en-US" w:eastAsia="zh-CN"/>
        </w:rPr>
        <w:t>55</w:t>
      </w:r>
      <w:r>
        <w:rPr>
          <w:rFonts w:hint="eastAsia" w:ascii="宋体" w:hAnsi="宋体"/>
          <w:bCs/>
          <w:sz w:val="24"/>
          <w:szCs w:val="18"/>
        </w:rPr>
        <w:t>%。</w:t>
      </w:r>
    </w:p>
    <w:p>
      <w:pPr>
        <w:keepNext w:val="0"/>
        <w:keepLines w:val="0"/>
        <w:pageBreakBefore w:val="0"/>
        <w:widowControl w:val="0"/>
        <w:kinsoku/>
        <w:wordWrap/>
        <w:overflowPunct/>
        <w:topLinePunct w:val="0"/>
        <w:autoSpaceDE w:val="0"/>
        <w:autoSpaceDN w:val="0"/>
        <w:bidi w:val="0"/>
        <w:adjustRightInd w:val="0"/>
        <w:snapToGrid/>
        <w:spacing w:line="360" w:lineRule="auto"/>
        <w:ind w:firstLine="200"/>
        <w:jc w:val="left"/>
        <w:textAlignment w:val="auto"/>
        <w:rPr>
          <w:rFonts w:hint="eastAsia" w:ascii="宋体" w:hAnsi="宋体"/>
          <w:bCs/>
          <w:sz w:val="24"/>
          <w:szCs w:val="18"/>
        </w:rPr>
      </w:pPr>
      <w:r>
        <w:rPr>
          <w:rFonts w:hint="eastAsia" w:ascii="宋体" w:hAnsi="宋体"/>
          <w:bCs/>
          <w:sz w:val="24"/>
          <w:szCs w:val="18"/>
        </w:rPr>
        <w:t>6、项目类别：服务类</w:t>
      </w:r>
    </w:p>
    <w:p>
      <w:pPr>
        <w:pStyle w:val="2"/>
        <w:keepNext w:val="0"/>
        <w:keepLines w:val="0"/>
        <w:pageBreakBefore w:val="0"/>
        <w:widowControl w:val="0"/>
        <w:kinsoku/>
        <w:wordWrap/>
        <w:overflowPunct/>
        <w:topLinePunct w:val="0"/>
        <w:bidi w:val="0"/>
        <w:snapToGrid/>
        <w:spacing w:line="360" w:lineRule="auto"/>
        <w:ind w:left="0" w:leftChars="0" w:firstLine="240" w:firstLineChars="100"/>
        <w:textAlignment w:val="auto"/>
        <w:rPr>
          <w:rFonts w:hint="eastAsia" w:ascii="宋体" w:hAnsi="宋体"/>
          <w:bCs/>
          <w:sz w:val="24"/>
          <w:szCs w:val="18"/>
          <w:lang w:val="en-US" w:eastAsia="zh-CN"/>
        </w:rPr>
      </w:pPr>
      <w:r>
        <w:rPr>
          <w:rFonts w:hint="eastAsia" w:ascii="宋体" w:hAnsi="宋体"/>
          <w:bCs/>
          <w:sz w:val="24"/>
          <w:szCs w:val="18"/>
          <w:lang w:val="en-US" w:eastAsia="zh-CN"/>
        </w:rPr>
        <w:t>7、服务内容：物业服务</w:t>
      </w:r>
    </w:p>
    <w:p>
      <w:pPr>
        <w:pStyle w:val="2"/>
        <w:keepNext w:val="0"/>
        <w:keepLines w:val="0"/>
        <w:pageBreakBefore w:val="0"/>
        <w:widowControl w:val="0"/>
        <w:kinsoku/>
        <w:wordWrap/>
        <w:overflowPunct/>
        <w:topLinePunct w:val="0"/>
        <w:bidi w:val="0"/>
        <w:snapToGrid/>
        <w:spacing w:line="360" w:lineRule="auto"/>
        <w:ind w:left="0" w:leftChars="0" w:firstLine="240" w:firstLineChars="100"/>
        <w:textAlignment w:val="auto"/>
        <w:rPr>
          <w:rFonts w:hint="eastAsia" w:ascii="宋体" w:hAnsi="宋体"/>
          <w:sz w:val="24"/>
        </w:rPr>
      </w:pPr>
      <w:r>
        <w:rPr>
          <w:rFonts w:hint="eastAsia" w:ascii="宋体" w:hAnsi="宋体"/>
          <w:bCs/>
          <w:sz w:val="24"/>
          <w:szCs w:val="18"/>
          <w:lang w:val="en-US" w:eastAsia="zh-CN"/>
        </w:rPr>
        <w:t>8、服务周</w:t>
      </w:r>
      <w:r>
        <w:rPr>
          <w:rFonts w:hint="eastAsia" w:ascii="宋体" w:hAnsi="宋体"/>
          <w:bCs/>
          <w:color w:val="000000"/>
          <w:sz w:val="24"/>
          <w:szCs w:val="18"/>
          <w:lang w:val="en-US" w:eastAsia="zh-CN"/>
        </w:rPr>
        <w:t>期：</w:t>
      </w:r>
      <w:r>
        <w:rPr>
          <w:rFonts w:hint="eastAsia" w:ascii="宋体" w:hAnsi="宋体"/>
          <w:color w:val="000000"/>
          <w:sz w:val="24"/>
          <w:highlight w:val="none"/>
        </w:rPr>
        <w:t>合同后</w:t>
      </w:r>
      <w:r>
        <w:rPr>
          <w:rFonts w:hint="eastAsia" w:ascii="宋体" w:hAnsi="宋体"/>
          <w:color w:val="000000"/>
          <w:sz w:val="24"/>
          <w:highlight w:val="none"/>
          <w:lang w:eastAsia="zh-CN"/>
        </w:rPr>
        <w:t>五</w:t>
      </w:r>
      <w:r>
        <w:rPr>
          <w:rFonts w:hint="eastAsia" w:ascii="宋体" w:hAnsi="宋体"/>
          <w:color w:val="000000"/>
          <w:sz w:val="24"/>
          <w:highlight w:val="none"/>
        </w:rPr>
        <w:t>年</w:t>
      </w:r>
      <w:r>
        <w:rPr>
          <w:rFonts w:hint="eastAsia" w:ascii="宋体" w:hAnsi="宋体"/>
          <w:color w:val="C00000"/>
          <w:sz w:val="24"/>
          <w:highlight w:val="none"/>
        </w:rPr>
        <w:t>，</w:t>
      </w:r>
      <w:r>
        <w:rPr>
          <w:rFonts w:hint="eastAsia" w:ascii="宋体" w:hAnsi="宋体"/>
          <w:sz w:val="24"/>
          <w:szCs w:val="28"/>
          <w:highlight w:val="none"/>
        </w:rPr>
        <w:t>若</w:t>
      </w:r>
      <w:r>
        <w:rPr>
          <w:rFonts w:hint="eastAsia" w:ascii="宋体" w:hAnsi="宋体"/>
          <w:sz w:val="24"/>
          <w:szCs w:val="28"/>
        </w:rPr>
        <w:t>合同期满甲乙双方无异议，则合同顺延</w:t>
      </w:r>
      <w:r>
        <w:rPr>
          <w:rFonts w:hint="eastAsia" w:ascii="宋体" w:hAnsi="宋体"/>
          <w:sz w:val="24"/>
          <w:szCs w:val="28"/>
          <w:lang w:eastAsia="zh-CN"/>
        </w:rPr>
        <w:t>；</w:t>
      </w:r>
      <w:r>
        <w:rPr>
          <w:rFonts w:hint="eastAsia" w:ascii="宋体" w:hAnsi="宋体"/>
          <w:sz w:val="24"/>
        </w:rPr>
        <w:t>期间业主委员会成立后并选定新物业公司，本合同终止</w:t>
      </w:r>
    </w:p>
    <w:p>
      <w:pPr>
        <w:pStyle w:val="2"/>
        <w:keepNext w:val="0"/>
        <w:keepLines w:val="0"/>
        <w:pageBreakBefore w:val="0"/>
        <w:widowControl w:val="0"/>
        <w:kinsoku/>
        <w:wordWrap/>
        <w:overflowPunct/>
        <w:topLinePunct w:val="0"/>
        <w:bidi w:val="0"/>
        <w:snapToGrid/>
        <w:spacing w:line="360" w:lineRule="auto"/>
        <w:ind w:left="0" w:leftChars="0" w:firstLine="240" w:firstLineChars="100"/>
        <w:textAlignment w:val="auto"/>
        <w:rPr>
          <w:rFonts w:hint="default" w:ascii="宋体" w:hAnsi="宋体" w:eastAsia="宋体"/>
          <w:sz w:val="24"/>
          <w:lang w:val="en-US" w:eastAsia="zh-CN"/>
        </w:rPr>
      </w:pPr>
      <w:r>
        <w:rPr>
          <w:rFonts w:hint="eastAsia" w:ascii="宋体" w:hAnsi="宋体"/>
          <w:sz w:val="24"/>
          <w:lang w:val="en-US" w:eastAsia="zh-CN"/>
        </w:rPr>
        <w:t>9、服务等级：A级</w:t>
      </w:r>
    </w:p>
    <w:p>
      <w:pPr>
        <w:keepNext w:val="0"/>
        <w:keepLines w:val="0"/>
        <w:pageBreakBefore w:val="0"/>
        <w:widowControl w:val="0"/>
        <w:kinsoku/>
        <w:wordWrap/>
        <w:overflowPunct/>
        <w:topLinePunct w:val="0"/>
        <w:autoSpaceDE w:val="0"/>
        <w:autoSpaceDN w:val="0"/>
        <w:bidi w:val="0"/>
        <w:adjustRightInd w:val="0"/>
        <w:snapToGrid/>
        <w:spacing w:line="360" w:lineRule="auto"/>
        <w:ind w:firstLine="200"/>
        <w:jc w:val="left"/>
        <w:textAlignment w:val="auto"/>
        <w:rPr>
          <w:rFonts w:hint="eastAsia" w:ascii="宋体" w:hAnsi="宋体"/>
          <w:bCs/>
          <w:sz w:val="24"/>
          <w:szCs w:val="18"/>
        </w:rPr>
      </w:pPr>
      <w:r>
        <w:rPr>
          <w:rFonts w:hint="eastAsia" w:ascii="宋体" w:hAnsi="宋体"/>
          <w:bCs/>
          <w:sz w:val="24"/>
          <w:szCs w:val="18"/>
          <w:lang w:val="en-US" w:eastAsia="zh-CN"/>
        </w:rPr>
        <w:t>10、</w:t>
      </w:r>
      <w:r>
        <w:rPr>
          <w:rFonts w:hint="eastAsia" w:ascii="宋体" w:hAnsi="宋体"/>
          <w:bCs/>
          <w:sz w:val="24"/>
          <w:szCs w:val="18"/>
        </w:rPr>
        <w:t>标段划分：本项目共一个标段</w:t>
      </w:r>
    </w:p>
    <w:p>
      <w:pPr>
        <w:autoSpaceDE w:val="0"/>
        <w:autoSpaceDN w:val="0"/>
        <w:adjustRightInd w:val="0"/>
        <w:spacing w:line="360" w:lineRule="auto"/>
        <w:ind w:firstLine="200"/>
        <w:jc w:val="left"/>
        <w:rPr>
          <w:rFonts w:ascii="宋体" w:hAnsi="宋体"/>
          <w:b/>
          <w:bCs/>
          <w:sz w:val="24"/>
          <w:szCs w:val="18"/>
        </w:rPr>
      </w:pPr>
      <w:r>
        <w:rPr>
          <w:rFonts w:hint="eastAsia" w:ascii="宋体" w:hAnsi="宋体"/>
          <w:b/>
          <w:bCs/>
          <w:sz w:val="24"/>
          <w:szCs w:val="18"/>
        </w:rPr>
        <w:t>二、投标人资格</w:t>
      </w:r>
    </w:p>
    <w:p>
      <w:pPr>
        <w:autoSpaceDE w:val="0"/>
        <w:autoSpaceDN w:val="0"/>
        <w:adjustRightInd w:val="0"/>
        <w:spacing w:line="360" w:lineRule="auto"/>
        <w:ind w:firstLine="200"/>
        <w:jc w:val="left"/>
        <w:rPr>
          <w:rFonts w:hint="eastAsia" w:ascii="宋体" w:hAnsi="宋体"/>
          <w:bCs/>
          <w:sz w:val="24"/>
          <w:szCs w:val="18"/>
        </w:rPr>
      </w:pPr>
      <w:r>
        <w:rPr>
          <w:rFonts w:hint="eastAsia" w:ascii="宋体" w:hAnsi="宋体"/>
          <w:bCs/>
          <w:sz w:val="24"/>
          <w:szCs w:val="18"/>
        </w:rPr>
        <w:t xml:space="preserve">1.具有独立承担民事责任的能力； </w:t>
      </w:r>
    </w:p>
    <w:p>
      <w:pPr>
        <w:autoSpaceDE w:val="0"/>
        <w:autoSpaceDN w:val="0"/>
        <w:adjustRightInd w:val="0"/>
        <w:spacing w:line="360" w:lineRule="auto"/>
        <w:ind w:firstLine="200"/>
        <w:jc w:val="left"/>
        <w:rPr>
          <w:rFonts w:hint="eastAsia" w:ascii="宋体" w:hAnsi="宋体"/>
          <w:bCs/>
          <w:sz w:val="24"/>
          <w:szCs w:val="18"/>
        </w:rPr>
      </w:pPr>
      <w:r>
        <w:rPr>
          <w:rFonts w:hint="eastAsia" w:ascii="宋体" w:hAnsi="宋体"/>
          <w:bCs/>
          <w:sz w:val="24"/>
          <w:szCs w:val="18"/>
        </w:rPr>
        <w:t xml:space="preserve">2.本项目不接受联合体投标； </w:t>
      </w:r>
    </w:p>
    <w:p>
      <w:pPr>
        <w:autoSpaceDE w:val="0"/>
        <w:autoSpaceDN w:val="0"/>
        <w:adjustRightInd w:val="0"/>
        <w:spacing w:line="360" w:lineRule="auto"/>
        <w:ind w:firstLine="200"/>
        <w:jc w:val="left"/>
        <w:rPr>
          <w:rFonts w:hint="eastAsia" w:ascii="宋体" w:hAnsi="宋体"/>
          <w:bCs/>
          <w:sz w:val="24"/>
          <w:szCs w:val="18"/>
        </w:rPr>
      </w:pPr>
      <w:r>
        <w:rPr>
          <w:rFonts w:hint="eastAsia" w:ascii="宋体" w:hAnsi="宋体"/>
          <w:bCs/>
          <w:sz w:val="24"/>
          <w:szCs w:val="18"/>
        </w:rPr>
        <w:t xml:space="preserve">3.符合下列情形之一： </w:t>
      </w:r>
    </w:p>
    <w:p>
      <w:pPr>
        <w:autoSpaceDE w:val="0"/>
        <w:autoSpaceDN w:val="0"/>
        <w:adjustRightInd w:val="0"/>
        <w:spacing w:line="360" w:lineRule="auto"/>
        <w:ind w:firstLine="200"/>
        <w:jc w:val="left"/>
        <w:rPr>
          <w:rFonts w:hint="eastAsia" w:ascii="宋体" w:hAnsi="宋体"/>
          <w:bCs/>
          <w:sz w:val="24"/>
          <w:szCs w:val="18"/>
        </w:rPr>
      </w:pPr>
      <w:r>
        <w:rPr>
          <w:rFonts w:hint="eastAsia" w:ascii="宋体" w:hAnsi="宋体"/>
          <w:bCs/>
          <w:sz w:val="24"/>
          <w:szCs w:val="18"/>
        </w:rPr>
        <w:t xml:space="preserve">1)开标日前两年内未被物业企业注册地和安庆市及其所辖县（市）及区（开发区）公共资源交易监督管理部门记不良行为记录或记不良行为记录累计未满10分的。 </w:t>
      </w:r>
    </w:p>
    <w:p>
      <w:pPr>
        <w:autoSpaceDE w:val="0"/>
        <w:autoSpaceDN w:val="0"/>
        <w:adjustRightInd w:val="0"/>
        <w:spacing w:line="360" w:lineRule="auto"/>
        <w:ind w:firstLine="200"/>
        <w:jc w:val="left"/>
        <w:rPr>
          <w:rFonts w:hint="eastAsia" w:ascii="宋体" w:hAnsi="宋体"/>
          <w:bCs/>
          <w:sz w:val="24"/>
          <w:szCs w:val="18"/>
        </w:rPr>
      </w:pPr>
      <w:r>
        <w:rPr>
          <w:rFonts w:hint="eastAsia" w:ascii="宋体" w:hAnsi="宋体"/>
          <w:bCs/>
          <w:sz w:val="24"/>
          <w:szCs w:val="18"/>
        </w:rPr>
        <w:t xml:space="preserve">2)最近一次被物业企业注册地和安庆市及其所辖县（市）及区（开发区）公共资源交易监督管理部门记不良行为记录累计记分达10分(含10分)到15分且公布日距开标日超过6个月。 </w:t>
      </w:r>
    </w:p>
    <w:p>
      <w:pPr>
        <w:autoSpaceDE w:val="0"/>
        <w:autoSpaceDN w:val="0"/>
        <w:adjustRightInd w:val="0"/>
        <w:spacing w:line="360" w:lineRule="auto"/>
        <w:ind w:firstLine="200"/>
        <w:jc w:val="left"/>
        <w:rPr>
          <w:rFonts w:hint="eastAsia" w:ascii="宋体" w:hAnsi="宋体"/>
          <w:bCs/>
          <w:sz w:val="24"/>
          <w:szCs w:val="18"/>
        </w:rPr>
      </w:pPr>
      <w:r>
        <w:rPr>
          <w:rFonts w:hint="eastAsia" w:ascii="宋体" w:hAnsi="宋体"/>
          <w:bCs/>
          <w:sz w:val="24"/>
          <w:szCs w:val="18"/>
        </w:rPr>
        <w:t>3)最近一次被物业企业注册地和安庆市及其所辖县（市及区（开发区公共资源交易监督管理部门记不良行为记录累计记分达15分(含15分)到20分且公布日距开标日超过12个月</w:t>
      </w:r>
      <w:r>
        <w:rPr>
          <w:rFonts w:hint="eastAsia" w:ascii="宋体" w:hAnsi="宋体"/>
          <w:bCs/>
          <w:sz w:val="24"/>
          <w:szCs w:val="18"/>
          <w:lang w:val="en-US" w:eastAsia="zh-CN"/>
        </w:rPr>
        <w:t>.</w:t>
      </w:r>
      <w:r>
        <w:rPr>
          <w:rFonts w:hint="eastAsia" w:ascii="宋体" w:hAnsi="宋体"/>
          <w:bCs/>
          <w:sz w:val="24"/>
          <w:szCs w:val="18"/>
        </w:rPr>
        <w:t xml:space="preserve"> </w:t>
      </w:r>
    </w:p>
    <w:p>
      <w:pPr>
        <w:autoSpaceDE w:val="0"/>
        <w:autoSpaceDN w:val="0"/>
        <w:adjustRightInd w:val="0"/>
        <w:spacing w:line="360" w:lineRule="auto"/>
        <w:ind w:firstLine="200"/>
        <w:jc w:val="left"/>
        <w:rPr>
          <w:rFonts w:hint="eastAsia" w:ascii="宋体" w:hAnsi="宋体"/>
          <w:bCs/>
          <w:sz w:val="24"/>
          <w:szCs w:val="18"/>
        </w:rPr>
      </w:pPr>
      <w:r>
        <w:rPr>
          <w:rFonts w:hint="eastAsia" w:ascii="宋体" w:hAnsi="宋体"/>
          <w:bCs/>
          <w:sz w:val="24"/>
          <w:szCs w:val="18"/>
        </w:rPr>
        <w:t>4)最近一次被物业企业注册地和安庆市及其所辖县（市）及区（开发区）公共资源交易监督管理部门记不良行为记录累计记分达20分(含20分)及以上且公布日距开标日超过24个月。</w:t>
      </w:r>
    </w:p>
    <w:p>
      <w:pPr>
        <w:autoSpaceDE w:val="0"/>
        <w:autoSpaceDN w:val="0"/>
        <w:adjustRightInd w:val="0"/>
        <w:spacing w:line="360" w:lineRule="auto"/>
        <w:jc w:val="left"/>
        <w:rPr>
          <w:rFonts w:hint="eastAsia" w:ascii="宋体" w:hAnsi="宋体"/>
          <w:bCs/>
          <w:sz w:val="24"/>
          <w:szCs w:val="18"/>
        </w:rPr>
      </w:pPr>
      <w:r>
        <w:rPr>
          <w:rFonts w:hint="eastAsia" w:ascii="宋体" w:hAnsi="宋体"/>
          <w:bCs/>
          <w:sz w:val="24"/>
          <w:szCs w:val="18"/>
        </w:rPr>
        <w:t xml:space="preserve"> </w:t>
      </w:r>
    </w:p>
    <w:p>
      <w:pPr>
        <w:autoSpaceDE w:val="0"/>
        <w:autoSpaceDN w:val="0"/>
        <w:adjustRightInd w:val="0"/>
        <w:spacing w:line="360" w:lineRule="auto"/>
        <w:ind w:firstLine="200"/>
        <w:jc w:val="left"/>
        <w:rPr>
          <w:rFonts w:hint="eastAsia" w:ascii="宋体" w:hAnsi="宋体"/>
          <w:bCs/>
          <w:sz w:val="24"/>
          <w:szCs w:val="18"/>
        </w:rPr>
      </w:pPr>
      <w:r>
        <w:rPr>
          <w:rFonts w:hint="eastAsia" w:ascii="宋体" w:hAnsi="宋体"/>
          <w:bCs/>
          <w:sz w:val="24"/>
          <w:szCs w:val="18"/>
        </w:rPr>
        <w:t xml:space="preserve">4.投标人不得存在以下不良信用记录： </w:t>
      </w:r>
    </w:p>
    <w:p>
      <w:pPr>
        <w:autoSpaceDE w:val="0"/>
        <w:autoSpaceDN w:val="0"/>
        <w:adjustRightInd w:val="0"/>
        <w:spacing w:line="360" w:lineRule="auto"/>
        <w:ind w:firstLine="200"/>
        <w:jc w:val="left"/>
        <w:rPr>
          <w:rFonts w:hint="eastAsia" w:ascii="宋体" w:hAnsi="宋体"/>
          <w:bCs/>
          <w:sz w:val="24"/>
          <w:szCs w:val="18"/>
        </w:rPr>
      </w:pPr>
      <w:r>
        <w:rPr>
          <w:rFonts w:hint="eastAsia" w:ascii="宋体" w:hAnsi="宋体"/>
          <w:bCs/>
          <w:sz w:val="24"/>
          <w:szCs w:val="18"/>
        </w:rPr>
        <w:t xml:space="preserve">1）投标人被人民法院列入失信被执行人的； </w:t>
      </w:r>
    </w:p>
    <w:p>
      <w:pPr>
        <w:autoSpaceDE w:val="0"/>
        <w:autoSpaceDN w:val="0"/>
        <w:adjustRightInd w:val="0"/>
        <w:spacing w:line="360" w:lineRule="auto"/>
        <w:ind w:firstLine="200"/>
        <w:jc w:val="left"/>
        <w:rPr>
          <w:rFonts w:hint="eastAsia" w:ascii="宋体" w:hAnsi="宋体"/>
          <w:bCs/>
          <w:sz w:val="24"/>
          <w:szCs w:val="18"/>
        </w:rPr>
      </w:pPr>
      <w:r>
        <w:rPr>
          <w:rFonts w:hint="eastAsia" w:ascii="宋体" w:hAnsi="宋体"/>
          <w:bCs/>
          <w:sz w:val="24"/>
          <w:szCs w:val="18"/>
        </w:rPr>
        <w:t xml:space="preserve">2）投标人或其法定代表人被人民检察院列入行贿犯罪档案的； </w:t>
      </w:r>
    </w:p>
    <w:p>
      <w:pPr>
        <w:autoSpaceDE w:val="0"/>
        <w:autoSpaceDN w:val="0"/>
        <w:adjustRightInd w:val="0"/>
        <w:spacing w:line="360" w:lineRule="auto"/>
        <w:ind w:firstLine="200"/>
        <w:jc w:val="left"/>
        <w:rPr>
          <w:rFonts w:hint="eastAsia" w:ascii="宋体" w:hAnsi="宋体"/>
          <w:bCs/>
          <w:sz w:val="24"/>
          <w:szCs w:val="18"/>
        </w:rPr>
      </w:pPr>
      <w:r>
        <w:rPr>
          <w:rFonts w:hint="eastAsia" w:ascii="宋体" w:hAnsi="宋体"/>
          <w:bCs/>
          <w:sz w:val="24"/>
          <w:szCs w:val="18"/>
        </w:rPr>
        <w:t xml:space="preserve">3）投标人被工商行政管理部门列入企业经营异常名录的； </w:t>
      </w:r>
    </w:p>
    <w:p>
      <w:pPr>
        <w:autoSpaceDE w:val="0"/>
        <w:autoSpaceDN w:val="0"/>
        <w:adjustRightInd w:val="0"/>
        <w:spacing w:line="360" w:lineRule="auto"/>
        <w:ind w:firstLine="200"/>
        <w:jc w:val="left"/>
        <w:rPr>
          <w:rFonts w:hint="eastAsia" w:ascii="宋体" w:hAnsi="宋体"/>
          <w:bCs/>
          <w:sz w:val="24"/>
          <w:szCs w:val="18"/>
        </w:rPr>
      </w:pPr>
      <w:r>
        <w:rPr>
          <w:rFonts w:hint="eastAsia" w:ascii="宋体" w:hAnsi="宋体"/>
          <w:bCs/>
          <w:sz w:val="24"/>
          <w:szCs w:val="18"/>
        </w:rPr>
        <w:t>4）投标人被税务部门列入重大税收违法案件当事人名单的。</w:t>
      </w:r>
    </w:p>
    <w:p>
      <w:pPr>
        <w:autoSpaceDE w:val="0"/>
        <w:autoSpaceDN w:val="0"/>
        <w:adjustRightInd w:val="0"/>
        <w:spacing w:line="360" w:lineRule="auto"/>
        <w:ind w:firstLine="200"/>
        <w:jc w:val="left"/>
        <w:rPr>
          <w:rFonts w:hint="eastAsia" w:ascii="宋体" w:hAnsi="宋体"/>
          <w:bCs/>
          <w:sz w:val="24"/>
          <w:szCs w:val="18"/>
        </w:rPr>
      </w:pPr>
      <w:r>
        <w:rPr>
          <w:rFonts w:hint="eastAsia" w:ascii="宋体" w:hAnsi="宋体"/>
          <w:bCs/>
          <w:sz w:val="24"/>
          <w:szCs w:val="18"/>
        </w:rPr>
        <w:t>三、报名及招标文件发售方法</w:t>
      </w:r>
    </w:p>
    <w:p>
      <w:pPr>
        <w:autoSpaceDE w:val="0"/>
        <w:autoSpaceDN w:val="0"/>
        <w:adjustRightInd w:val="0"/>
        <w:spacing w:line="360" w:lineRule="auto"/>
        <w:ind w:firstLine="200"/>
        <w:jc w:val="left"/>
        <w:rPr>
          <w:rFonts w:hint="default" w:ascii="宋体" w:hAnsi="宋体" w:eastAsia="宋体"/>
          <w:bCs/>
          <w:color w:val="000000"/>
          <w:sz w:val="24"/>
          <w:szCs w:val="18"/>
          <w:highlight w:val="none"/>
          <w:lang w:val="en-US" w:eastAsia="zh-CN"/>
        </w:rPr>
      </w:pPr>
      <w:r>
        <w:rPr>
          <w:rFonts w:hint="eastAsia" w:ascii="宋体" w:hAnsi="宋体"/>
          <w:bCs/>
          <w:color w:val="000000"/>
          <w:sz w:val="24"/>
          <w:szCs w:val="18"/>
          <w:highlight w:val="none"/>
        </w:rPr>
        <w:t>1、报名时间：</w:t>
      </w:r>
      <w:r>
        <w:rPr>
          <w:rFonts w:hint="eastAsia" w:ascii="宋体" w:hAnsi="宋体"/>
          <w:bCs/>
          <w:color w:val="000000"/>
          <w:sz w:val="24"/>
          <w:szCs w:val="18"/>
          <w:highlight w:val="none"/>
          <w:lang w:val="en-US" w:eastAsia="zh-CN"/>
        </w:rPr>
        <w:t>2022</w:t>
      </w:r>
      <w:r>
        <w:rPr>
          <w:rFonts w:hint="eastAsia" w:ascii="宋体" w:hAnsi="宋体"/>
          <w:bCs/>
          <w:color w:val="000000"/>
          <w:sz w:val="24"/>
          <w:szCs w:val="18"/>
          <w:highlight w:val="none"/>
        </w:rPr>
        <w:t>年</w:t>
      </w:r>
      <w:r>
        <w:rPr>
          <w:rFonts w:hint="eastAsia" w:ascii="宋体" w:hAnsi="宋体"/>
          <w:bCs/>
          <w:color w:val="000000"/>
          <w:sz w:val="24"/>
          <w:szCs w:val="18"/>
          <w:highlight w:val="none"/>
          <w:lang w:val="en-US" w:eastAsia="zh-CN"/>
        </w:rPr>
        <w:t>7</w:t>
      </w:r>
      <w:r>
        <w:rPr>
          <w:rFonts w:hint="eastAsia" w:ascii="宋体" w:hAnsi="宋体"/>
          <w:bCs/>
          <w:color w:val="000000"/>
          <w:sz w:val="24"/>
          <w:szCs w:val="18"/>
          <w:highlight w:val="none"/>
        </w:rPr>
        <w:t>月</w:t>
      </w:r>
      <w:r>
        <w:rPr>
          <w:rFonts w:hint="eastAsia" w:ascii="宋体" w:hAnsi="宋体"/>
          <w:bCs/>
          <w:color w:val="000000"/>
          <w:sz w:val="24"/>
          <w:szCs w:val="18"/>
          <w:highlight w:val="none"/>
          <w:lang w:val="en-US" w:eastAsia="zh-CN"/>
        </w:rPr>
        <w:t>22</w:t>
      </w:r>
      <w:r>
        <w:rPr>
          <w:rFonts w:hint="eastAsia" w:ascii="宋体" w:hAnsi="宋体"/>
          <w:bCs/>
          <w:color w:val="000000"/>
          <w:sz w:val="24"/>
          <w:szCs w:val="18"/>
          <w:highlight w:val="none"/>
        </w:rPr>
        <w:t>日</w:t>
      </w:r>
      <w:r>
        <w:rPr>
          <w:rFonts w:hint="eastAsia" w:ascii="宋体" w:hAnsi="宋体"/>
          <w:bCs/>
          <w:color w:val="000000"/>
          <w:sz w:val="24"/>
          <w:szCs w:val="18"/>
          <w:highlight w:val="none"/>
          <w:lang w:val="en-US" w:eastAsia="zh-CN"/>
        </w:rPr>
        <w:t>8:00</w:t>
      </w:r>
      <w:r>
        <w:rPr>
          <w:rFonts w:hint="eastAsia" w:ascii="宋体" w:hAnsi="宋体"/>
          <w:bCs/>
          <w:color w:val="000000"/>
          <w:sz w:val="24"/>
          <w:szCs w:val="18"/>
          <w:highlight w:val="none"/>
        </w:rPr>
        <w:t>至</w:t>
      </w:r>
      <w:r>
        <w:rPr>
          <w:rFonts w:hint="eastAsia" w:ascii="宋体" w:hAnsi="宋体"/>
          <w:bCs/>
          <w:color w:val="000000"/>
          <w:sz w:val="24"/>
          <w:szCs w:val="18"/>
          <w:highlight w:val="none"/>
          <w:lang w:val="en-US" w:eastAsia="zh-CN"/>
        </w:rPr>
        <w:t>2022</w:t>
      </w:r>
      <w:r>
        <w:rPr>
          <w:rFonts w:hint="eastAsia" w:ascii="宋体" w:hAnsi="宋体"/>
          <w:bCs/>
          <w:color w:val="000000"/>
          <w:sz w:val="24"/>
          <w:szCs w:val="18"/>
          <w:highlight w:val="none"/>
        </w:rPr>
        <w:t>年</w:t>
      </w:r>
      <w:r>
        <w:rPr>
          <w:rFonts w:hint="eastAsia" w:ascii="宋体" w:hAnsi="宋体"/>
          <w:bCs/>
          <w:color w:val="000000"/>
          <w:sz w:val="24"/>
          <w:szCs w:val="18"/>
          <w:highlight w:val="none"/>
          <w:lang w:val="en-US" w:eastAsia="zh-CN"/>
        </w:rPr>
        <w:t>8</w:t>
      </w:r>
      <w:r>
        <w:rPr>
          <w:rFonts w:hint="eastAsia" w:ascii="宋体" w:hAnsi="宋体"/>
          <w:bCs/>
          <w:color w:val="000000"/>
          <w:sz w:val="24"/>
          <w:szCs w:val="18"/>
          <w:highlight w:val="none"/>
        </w:rPr>
        <w:t>月</w:t>
      </w:r>
      <w:r>
        <w:rPr>
          <w:rFonts w:hint="eastAsia" w:ascii="宋体" w:hAnsi="宋体"/>
          <w:bCs/>
          <w:color w:val="000000"/>
          <w:sz w:val="24"/>
          <w:szCs w:val="18"/>
          <w:highlight w:val="none"/>
          <w:lang w:val="en-US" w:eastAsia="zh-CN"/>
        </w:rPr>
        <w:t>10</w:t>
      </w:r>
      <w:r>
        <w:rPr>
          <w:rFonts w:hint="eastAsia" w:ascii="宋体" w:hAnsi="宋体"/>
          <w:bCs/>
          <w:color w:val="000000"/>
          <w:sz w:val="24"/>
          <w:szCs w:val="18"/>
          <w:highlight w:val="none"/>
        </w:rPr>
        <w:t>日</w:t>
      </w:r>
      <w:r>
        <w:rPr>
          <w:rFonts w:hint="eastAsia" w:ascii="宋体" w:hAnsi="宋体"/>
          <w:bCs/>
          <w:color w:val="000000"/>
          <w:sz w:val="24"/>
          <w:szCs w:val="18"/>
          <w:highlight w:val="none"/>
          <w:lang w:val="en-US" w:eastAsia="zh-CN"/>
        </w:rPr>
        <w:t>17:00止</w:t>
      </w:r>
    </w:p>
    <w:p>
      <w:pPr>
        <w:autoSpaceDE w:val="0"/>
        <w:autoSpaceDN w:val="0"/>
        <w:adjustRightInd w:val="0"/>
        <w:spacing w:line="360" w:lineRule="auto"/>
        <w:ind w:firstLine="200"/>
        <w:jc w:val="left"/>
        <w:rPr>
          <w:rFonts w:hint="default" w:ascii="宋体" w:hAnsi="宋体" w:eastAsia="宋体"/>
          <w:bCs/>
          <w:color w:val="000000"/>
          <w:sz w:val="24"/>
          <w:szCs w:val="18"/>
          <w:highlight w:val="none"/>
          <w:lang w:val="en-US" w:eastAsia="zh-CN"/>
        </w:rPr>
      </w:pPr>
      <w:r>
        <w:rPr>
          <w:rFonts w:hint="eastAsia" w:ascii="宋体" w:hAnsi="宋体"/>
          <w:bCs/>
          <w:color w:val="000000"/>
          <w:sz w:val="24"/>
          <w:szCs w:val="18"/>
          <w:highlight w:val="none"/>
        </w:rPr>
        <w:t xml:space="preserve">2、报名地点： </w:t>
      </w:r>
      <w:r>
        <w:rPr>
          <w:rFonts w:hint="eastAsia" w:ascii="宋体" w:hAnsi="宋体"/>
          <w:bCs/>
          <w:color w:val="000000"/>
          <w:sz w:val="24"/>
          <w:szCs w:val="18"/>
          <w:highlight w:val="none"/>
          <w:lang w:eastAsia="zh-CN"/>
        </w:rPr>
        <w:t>桐城市</w:t>
      </w:r>
      <w:r>
        <w:rPr>
          <w:rFonts w:hint="eastAsia" w:ascii="宋体" w:hAnsi="宋体"/>
          <w:bCs/>
          <w:color w:val="000000"/>
          <w:sz w:val="24"/>
          <w:szCs w:val="18"/>
          <w:highlight w:val="none"/>
          <w:lang w:val="en-US" w:eastAsia="zh-CN"/>
        </w:rPr>
        <w:t>房产管理中心</w:t>
      </w:r>
      <w:r>
        <w:rPr>
          <w:rFonts w:hint="eastAsia" w:ascii="宋体" w:hAnsi="宋体"/>
          <w:bCs/>
          <w:color w:val="000000"/>
          <w:sz w:val="24"/>
          <w:szCs w:val="18"/>
          <w:highlight w:val="none"/>
          <w:lang w:eastAsia="zh-CN"/>
        </w:rPr>
        <w:t>物业办（</w:t>
      </w:r>
      <w:r>
        <w:rPr>
          <w:rFonts w:hint="eastAsia" w:ascii="宋体" w:hAnsi="宋体"/>
          <w:bCs/>
          <w:color w:val="000000"/>
          <w:sz w:val="24"/>
          <w:szCs w:val="18"/>
          <w:highlight w:val="none"/>
          <w:lang w:val="en-US" w:eastAsia="zh-CN"/>
        </w:rPr>
        <w:t>沿河东路39号）</w:t>
      </w:r>
    </w:p>
    <w:p>
      <w:pPr>
        <w:autoSpaceDE w:val="0"/>
        <w:autoSpaceDN w:val="0"/>
        <w:adjustRightInd w:val="0"/>
        <w:spacing w:line="360" w:lineRule="auto"/>
        <w:ind w:firstLine="200"/>
        <w:jc w:val="left"/>
        <w:rPr>
          <w:rFonts w:hint="eastAsia" w:ascii="宋体" w:hAnsi="宋体"/>
          <w:bCs/>
          <w:color w:val="000000"/>
          <w:sz w:val="24"/>
          <w:szCs w:val="18"/>
          <w:highlight w:val="none"/>
        </w:rPr>
      </w:pPr>
      <w:r>
        <w:rPr>
          <w:rFonts w:hint="eastAsia" w:ascii="宋体" w:hAnsi="宋体"/>
          <w:bCs/>
          <w:color w:val="000000"/>
          <w:sz w:val="24"/>
          <w:szCs w:val="18"/>
          <w:highlight w:val="none"/>
        </w:rPr>
        <w:t>3、报名方式：现场报名</w:t>
      </w:r>
    </w:p>
    <w:p>
      <w:pPr>
        <w:autoSpaceDE w:val="0"/>
        <w:autoSpaceDN w:val="0"/>
        <w:adjustRightInd w:val="0"/>
        <w:spacing w:line="360" w:lineRule="auto"/>
        <w:ind w:firstLine="200"/>
        <w:jc w:val="left"/>
        <w:rPr>
          <w:rFonts w:hint="eastAsia" w:ascii="宋体" w:hAnsi="宋体"/>
          <w:bCs/>
          <w:sz w:val="24"/>
          <w:szCs w:val="18"/>
        </w:rPr>
      </w:pPr>
      <w:r>
        <w:rPr>
          <w:rFonts w:hint="eastAsia" w:ascii="宋体" w:hAnsi="宋体"/>
          <w:bCs/>
          <w:sz w:val="24"/>
          <w:szCs w:val="18"/>
        </w:rPr>
        <w:t>4、报名材料：</w:t>
      </w:r>
    </w:p>
    <w:p>
      <w:pPr>
        <w:autoSpaceDE w:val="0"/>
        <w:autoSpaceDN w:val="0"/>
        <w:adjustRightInd w:val="0"/>
        <w:spacing w:line="360" w:lineRule="auto"/>
        <w:ind w:firstLine="200"/>
        <w:jc w:val="left"/>
        <w:rPr>
          <w:rFonts w:hint="eastAsia" w:ascii="宋体" w:hAnsi="宋体"/>
          <w:bCs/>
          <w:sz w:val="24"/>
          <w:szCs w:val="18"/>
        </w:rPr>
      </w:pPr>
      <w:r>
        <w:rPr>
          <w:rFonts w:hint="eastAsia" w:ascii="宋体" w:hAnsi="宋体"/>
          <w:bCs/>
          <w:sz w:val="24"/>
          <w:szCs w:val="18"/>
        </w:rPr>
        <w:t>1）投标单位法定代表人身份证明或法定代表人授权委托书扫描件；</w:t>
      </w:r>
    </w:p>
    <w:p>
      <w:pPr>
        <w:autoSpaceDE w:val="0"/>
        <w:autoSpaceDN w:val="0"/>
        <w:adjustRightInd w:val="0"/>
        <w:spacing w:line="360" w:lineRule="auto"/>
        <w:ind w:firstLine="200"/>
        <w:jc w:val="left"/>
        <w:rPr>
          <w:rFonts w:hint="eastAsia" w:ascii="宋体" w:hAnsi="宋体"/>
          <w:bCs/>
          <w:sz w:val="24"/>
          <w:szCs w:val="18"/>
        </w:rPr>
      </w:pPr>
      <w:r>
        <w:rPr>
          <w:rFonts w:hint="eastAsia" w:ascii="宋体" w:hAnsi="宋体"/>
          <w:bCs/>
          <w:sz w:val="24"/>
          <w:szCs w:val="18"/>
        </w:rPr>
        <w:t>2）营业执照扫描件；</w:t>
      </w:r>
    </w:p>
    <w:p>
      <w:pPr>
        <w:autoSpaceDE w:val="0"/>
        <w:autoSpaceDN w:val="0"/>
        <w:adjustRightInd w:val="0"/>
        <w:spacing w:line="360" w:lineRule="auto"/>
        <w:ind w:firstLine="200"/>
        <w:jc w:val="left"/>
        <w:rPr>
          <w:rFonts w:hint="eastAsia" w:ascii="宋体" w:hAnsi="宋体"/>
          <w:bCs/>
          <w:sz w:val="24"/>
          <w:szCs w:val="18"/>
        </w:rPr>
      </w:pPr>
      <w:r>
        <w:rPr>
          <w:rFonts w:hint="eastAsia" w:ascii="宋体" w:hAnsi="宋体"/>
          <w:bCs/>
          <w:sz w:val="24"/>
          <w:szCs w:val="18"/>
        </w:rPr>
        <w:t>3）投标人认为可提供的其他材料。</w:t>
      </w:r>
    </w:p>
    <w:p>
      <w:pPr>
        <w:autoSpaceDE w:val="0"/>
        <w:autoSpaceDN w:val="0"/>
        <w:adjustRightInd w:val="0"/>
        <w:spacing w:line="360" w:lineRule="auto"/>
        <w:ind w:firstLine="200"/>
        <w:jc w:val="left"/>
        <w:rPr>
          <w:rFonts w:hint="eastAsia" w:ascii="宋体" w:hAnsi="宋体"/>
          <w:bCs/>
          <w:sz w:val="24"/>
          <w:szCs w:val="18"/>
        </w:rPr>
      </w:pPr>
      <w:r>
        <w:rPr>
          <w:rFonts w:hint="eastAsia" w:ascii="宋体" w:hAnsi="宋体"/>
          <w:bCs/>
          <w:sz w:val="24"/>
          <w:szCs w:val="18"/>
        </w:rPr>
        <w:t>（注：所有报名资料均须提供加盖公章的扫描件，报名资料不齐全或不符要求者，招标人或招标代理机构有权拒绝其报名。未领购招标文件不得参加投标。）</w:t>
      </w:r>
    </w:p>
    <w:p>
      <w:pPr>
        <w:spacing w:line="360" w:lineRule="auto"/>
        <w:ind w:left="1"/>
        <w:rPr>
          <w:rFonts w:ascii="宋体"/>
          <w:sz w:val="24"/>
          <w:szCs w:val="24"/>
        </w:rPr>
      </w:pPr>
      <w:r>
        <w:rPr>
          <w:rFonts w:hint="eastAsia" w:ascii="宋体" w:hAnsi="宋体" w:cs="宋体"/>
          <w:sz w:val="24"/>
          <w:szCs w:val="24"/>
        </w:rPr>
        <w:t>四、开标时间及开标地点：详见招标文件。</w:t>
      </w:r>
    </w:p>
    <w:p>
      <w:pPr>
        <w:spacing w:line="360" w:lineRule="auto"/>
        <w:ind w:left="1"/>
        <w:rPr>
          <w:rFonts w:ascii="宋体"/>
          <w:sz w:val="24"/>
          <w:szCs w:val="24"/>
        </w:rPr>
      </w:pPr>
      <w:r>
        <w:rPr>
          <w:rFonts w:hint="eastAsia" w:ascii="宋体" w:hAnsi="宋体" w:cs="宋体"/>
          <w:sz w:val="24"/>
          <w:szCs w:val="24"/>
        </w:rPr>
        <w:t>五、联系方式</w:t>
      </w:r>
    </w:p>
    <w:p>
      <w:pPr>
        <w:spacing w:line="360" w:lineRule="auto"/>
        <w:ind w:left="1"/>
        <w:rPr>
          <w:rFonts w:hint="eastAsia" w:ascii="宋体" w:hAnsi="宋体" w:eastAsia="宋体" w:cs="宋体"/>
          <w:sz w:val="24"/>
          <w:szCs w:val="24"/>
          <w:lang w:eastAsia="zh-CN"/>
        </w:rPr>
      </w:pPr>
      <w:r>
        <w:rPr>
          <w:rFonts w:hint="eastAsia" w:ascii="宋体" w:hAnsi="宋体" w:cs="宋体"/>
          <w:sz w:val="24"/>
          <w:szCs w:val="24"/>
        </w:rPr>
        <w:t>招标人：</w:t>
      </w:r>
      <w:r>
        <w:rPr>
          <w:rFonts w:hint="eastAsia" w:ascii="宋体" w:hAnsi="宋体"/>
          <w:bCs/>
          <w:sz w:val="24"/>
          <w:szCs w:val="18"/>
          <w:lang w:eastAsia="zh-CN"/>
        </w:rPr>
        <w:t>安徽国翠玉艺股份有限公司</w:t>
      </w:r>
    </w:p>
    <w:p>
      <w:pPr>
        <w:spacing w:line="360" w:lineRule="auto"/>
        <w:ind w:left="1"/>
        <w:rPr>
          <w:rFonts w:hint="eastAsia" w:ascii="宋体" w:eastAsia="宋体"/>
          <w:sz w:val="24"/>
          <w:szCs w:val="24"/>
          <w:lang w:eastAsia="zh-CN"/>
        </w:rPr>
      </w:pPr>
      <w:r>
        <w:rPr>
          <w:rFonts w:hint="eastAsia" w:ascii="宋体" w:hAnsi="宋体" w:cs="宋体"/>
          <w:sz w:val="24"/>
          <w:szCs w:val="24"/>
        </w:rPr>
        <w:t xml:space="preserve">联系人： </w:t>
      </w:r>
      <w:r>
        <w:rPr>
          <w:rFonts w:hint="eastAsia" w:ascii="宋体" w:hAnsi="宋体" w:cs="宋体"/>
          <w:sz w:val="24"/>
          <w:szCs w:val="24"/>
          <w:lang w:eastAsia="zh-CN"/>
        </w:rPr>
        <w:t>姚勇</w:t>
      </w:r>
    </w:p>
    <w:p>
      <w:pPr>
        <w:spacing w:line="360" w:lineRule="auto"/>
        <w:ind w:left="1"/>
        <w:rPr>
          <w:rFonts w:ascii="宋体"/>
          <w:sz w:val="24"/>
          <w:szCs w:val="24"/>
        </w:rPr>
      </w:pPr>
      <w:r>
        <w:rPr>
          <w:rFonts w:hint="eastAsia" w:ascii="宋体" w:hAnsi="宋体" w:cs="宋体"/>
          <w:sz w:val="24"/>
          <w:szCs w:val="24"/>
        </w:rPr>
        <w:t>联系电话：</w:t>
      </w:r>
      <w:r>
        <w:rPr>
          <w:rFonts w:hint="eastAsia" w:ascii="宋体" w:hAnsi="宋体" w:cs="宋体"/>
          <w:sz w:val="24"/>
          <w:szCs w:val="24"/>
          <w:lang w:val="en-US" w:eastAsia="zh-CN"/>
        </w:rPr>
        <w:t>13905568091</w:t>
      </w:r>
      <w:r>
        <w:rPr>
          <w:rFonts w:hint="eastAsia" w:ascii="宋体" w:hAnsi="宋体" w:cs="宋体"/>
          <w:sz w:val="24"/>
          <w:szCs w:val="24"/>
        </w:rPr>
        <w:t xml:space="preserve"> </w:t>
      </w:r>
    </w:p>
    <w:p>
      <w:pPr>
        <w:spacing w:line="360" w:lineRule="auto"/>
        <w:rPr>
          <w:rFonts w:hint="eastAsia" w:ascii="宋体" w:hAnsi="宋体"/>
          <w:bCs/>
          <w:sz w:val="24"/>
          <w:szCs w:val="18"/>
          <w:highlight w:val="none"/>
          <w:lang w:val="en-US" w:eastAsia="zh-CN"/>
        </w:rPr>
      </w:pPr>
      <w:r>
        <w:rPr>
          <w:rFonts w:hint="eastAsia" w:ascii="宋体" w:hAnsi="宋体" w:cs="宋体"/>
          <w:sz w:val="24"/>
          <w:szCs w:val="24"/>
          <w:highlight w:val="none"/>
        </w:rPr>
        <w:t>详细地址：</w:t>
      </w:r>
      <w:r>
        <w:rPr>
          <w:rFonts w:hint="eastAsia" w:ascii="宋体" w:hAnsi="宋体"/>
          <w:bCs/>
          <w:sz w:val="24"/>
          <w:szCs w:val="18"/>
          <w:highlight w:val="none"/>
        </w:rPr>
        <w:t xml:space="preserve"> </w:t>
      </w:r>
      <w:r>
        <w:rPr>
          <w:rFonts w:hint="eastAsia" w:ascii="宋体" w:hAnsi="宋体"/>
          <w:bCs/>
          <w:sz w:val="24"/>
          <w:szCs w:val="18"/>
          <w:highlight w:val="none"/>
          <w:lang w:eastAsia="zh-CN"/>
        </w:rPr>
        <w:t>桐城市经开区龙池路与和平路交叉口西北侧</w:t>
      </w:r>
      <w:r>
        <w:rPr>
          <w:rFonts w:hint="eastAsia" w:ascii="宋体" w:hAnsi="宋体"/>
          <w:bCs/>
          <w:sz w:val="24"/>
          <w:szCs w:val="18"/>
          <w:highlight w:val="none"/>
          <w:lang w:val="en-US" w:eastAsia="zh-CN"/>
        </w:rPr>
        <w:t xml:space="preserve"> 国翠公馆营销中心</w:t>
      </w:r>
    </w:p>
    <w:p>
      <w:pPr>
        <w:pStyle w:val="2"/>
        <w:ind w:firstLine="3600" w:firstLineChars="1500"/>
        <w:rPr>
          <w:rFonts w:hint="eastAsia" w:ascii="宋体" w:hAnsi="宋体"/>
          <w:bCs/>
          <w:sz w:val="24"/>
          <w:szCs w:val="18"/>
          <w:highlight w:val="none"/>
          <w:lang w:val="en-US" w:eastAsia="zh-CN"/>
        </w:rPr>
      </w:pPr>
    </w:p>
    <w:p>
      <w:pPr>
        <w:pStyle w:val="2"/>
        <w:ind w:firstLine="5040" w:firstLineChars="2100"/>
        <w:rPr>
          <w:rFonts w:hint="default"/>
          <w:lang w:val="en-US" w:eastAsia="zh-CN"/>
        </w:rPr>
      </w:pPr>
      <w:r>
        <w:rPr>
          <w:rFonts w:hint="eastAsia" w:ascii="宋体" w:hAnsi="宋体"/>
          <w:bCs/>
          <w:sz w:val="24"/>
          <w:szCs w:val="18"/>
          <w:highlight w:val="none"/>
          <w:lang w:val="en-US" w:eastAsia="zh-CN"/>
        </w:rPr>
        <w:t>安徽国翠玉艺股份有限公司</w:t>
      </w:r>
    </w:p>
    <w:p>
      <w:pPr>
        <w:pStyle w:val="4"/>
        <w:spacing w:line="500" w:lineRule="exact"/>
        <w:rPr>
          <w:rFonts w:hint="eastAsia" w:ascii="宋体" w:hAnsi="宋体" w:eastAsia="宋体"/>
          <w:b w:val="0"/>
        </w:rPr>
      </w:pPr>
      <w:bookmarkStart w:id="6" w:name="_Toc504073348"/>
      <w:r>
        <w:rPr>
          <w:rFonts w:hint="eastAsia" w:ascii="宋体" w:hAnsi="宋体" w:eastAsia="宋体"/>
          <w:lang w:val="en-US" w:eastAsia="zh-CN"/>
        </w:rPr>
        <w:t xml:space="preserve">           </w:t>
      </w:r>
      <w:r>
        <w:rPr>
          <w:rFonts w:hint="eastAsia" w:ascii="宋体" w:hAnsi="宋体" w:eastAsia="宋体"/>
          <w:b w:val="0"/>
          <w:bCs w:val="0"/>
          <w:lang w:val="en-US" w:eastAsia="zh-CN"/>
        </w:rPr>
        <w:t xml:space="preserve">         2022年7月21日</w:t>
      </w:r>
      <w:r>
        <w:rPr>
          <w:rFonts w:hint="eastAsia" w:ascii="宋体" w:hAnsi="宋体" w:eastAsia="宋体"/>
        </w:rPr>
        <w:br w:type="page"/>
      </w:r>
      <w:r>
        <w:rPr>
          <w:rFonts w:hint="eastAsia" w:ascii="宋体" w:hAnsi="宋体" w:eastAsia="宋体"/>
        </w:rPr>
        <w:t>第二章 投标人须</w:t>
      </w:r>
      <w:bookmarkEnd w:id="4"/>
      <w:r>
        <w:rPr>
          <w:rFonts w:hint="eastAsia" w:ascii="宋体" w:hAnsi="宋体" w:eastAsia="宋体"/>
        </w:rPr>
        <w:t>知前</w:t>
      </w:r>
      <w:bookmarkEnd w:id="5"/>
      <w:r>
        <w:rPr>
          <w:rFonts w:hint="eastAsia" w:ascii="宋体" w:hAnsi="宋体" w:eastAsia="宋体"/>
        </w:rPr>
        <w:t>附表</w:t>
      </w:r>
      <w:bookmarkEnd w:id="6"/>
    </w:p>
    <w:tbl>
      <w:tblPr>
        <w:tblStyle w:val="4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6"/>
        <w:gridCol w:w="2389"/>
        <w:gridCol w:w="609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866" w:type="dxa"/>
            <w:noWrap w:val="0"/>
            <w:vAlign w:val="center"/>
          </w:tcPr>
          <w:p>
            <w:pPr>
              <w:jc w:val="center"/>
              <w:rPr>
                <w:rFonts w:hint="eastAsia" w:ascii="宋体" w:hAnsi="宋体"/>
                <w:b/>
                <w:sz w:val="24"/>
              </w:rPr>
            </w:pPr>
            <w:r>
              <w:rPr>
                <w:rFonts w:hint="eastAsia" w:ascii="宋体" w:hAnsi="宋体"/>
                <w:b/>
                <w:sz w:val="24"/>
              </w:rPr>
              <w:t>序号</w:t>
            </w:r>
          </w:p>
        </w:tc>
        <w:tc>
          <w:tcPr>
            <w:tcW w:w="2389" w:type="dxa"/>
            <w:noWrap w:val="0"/>
            <w:vAlign w:val="center"/>
          </w:tcPr>
          <w:p>
            <w:pPr>
              <w:jc w:val="center"/>
              <w:rPr>
                <w:rFonts w:hint="eastAsia" w:ascii="宋体" w:hAnsi="宋体"/>
                <w:b/>
                <w:sz w:val="24"/>
              </w:rPr>
            </w:pPr>
            <w:r>
              <w:rPr>
                <w:rFonts w:hint="eastAsia" w:ascii="宋体" w:hAnsi="宋体"/>
                <w:b/>
                <w:sz w:val="24"/>
              </w:rPr>
              <w:t>内容</w:t>
            </w:r>
          </w:p>
        </w:tc>
        <w:tc>
          <w:tcPr>
            <w:tcW w:w="6090" w:type="dxa"/>
            <w:noWrap w:val="0"/>
            <w:vAlign w:val="center"/>
          </w:tcPr>
          <w:p>
            <w:pPr>
              <w:pStyle w:val="90"/>
              <w:widowControl w:val="0"/>
              <w:spacing w:before="0" w:beforeAutospacing="0" w:after="0" w:afterAutospacing="0"/>
              <w:rPr>
                <w:rFonts w:hint="eastAsia"/>
                <w:bCs w:val="0"/>
                <w:kern w:val="2"/>
                <w:sz w:val="24"/>
                <w:szCs w:val="20"/>
              </w:rPr>
            </w:pPr>
            <w:r>
              <w:rPr>
                <w:rFonts w:hint="eastAsia"/>
                <w:bCs w:val="0"/>
                <w:kern w:val="2"/>
                <w:sz w:val="24"/>
                <w:szCs w:val="20"/>
              </w:rPr>
              <w:t>说明与要求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866" w:type="dxa"/>
            <w:noWrap w:val="0"/>
            <w:vAlign w:val="center"/>
          </w:tcPr>
          <w:p>
            <w:pPr>
              <w:pStyle w:val="89"/>
              <w:pBdr>
                <w:bottom w:val="none" w:color="auto" w:sz="0" w:space="0"/>
              </w:pBdr>
              <w:tabs>
                <w:tab w:val="clear" w:pos="4153"/>
                <w:tab w:val="clear" w:pos="8306"/>
              </w:tabs>
              <w:adjustRightInd/>
              <w:spacing w:line="240" w:lineRule="auto"/>
              <w:textAlignment w:val="auto"/>
              <w:rPr>
                <w:rFonts w:hint="eastAsia" w:ascii="宋体" w:hAnsi="宋体"/>
                <w:bCs/>
                <w:kern w:val="2"/>
              </w:rPr>
            </w:pPr>
            <w:r>
              <w:rPr>
                <w:rFonts w:hint="eastAsia" w:ascii="宋体" w:hAnsi="宋体"/>
                <w:bCs/>
                <w:kern w:val="2"/>
              </w:rPr>
              <w:t>1</w:t>
            </w:r>
          </w:p>
        </w:tc>
        <w:tc>
          <w:tcPr>
            <w:tcW w:w="2389" w:type="dxa"/>
            <w:noWrap w:val="0"/>
            <w:vAlign w:val="center"/>
          </w:tcPr>
          <w:p>
            <w:pPr>
              <w:jc w:val="center"/>
              <w:rPr>
                <w:rFonts w:hint="eastAsia" w:ascii="宋体" w:hAnsi="宋体"/>
                <w:bCs/>
                <w:sz w:val="24"/>
              </w:rPr>
            </w:pPr>
            <w:r>
              <w:rPr>
                <w:rFonts w:hint="eastAsia" w:ascii="宋体" w:hAnsi="宋体"/>
                <w:bCs/>
                <w:sz w:val="24"/>
              </w:rPr>
              <w:t>招标人</w:t>
            </w:r>
          </w:p>
        </w:tc>
        <w:tc>
          <w:tcPr>
            <w:tcW w:w="6090" w:type="dxa"/>
            <w:noWrap w:val="0"/>
            <w:vAlign w:val="center"/>
          </w:tcPr>
          <w:p>
            <w:pPr>
              <w:spacing w:line="360" w:lineRule="auto"/>
              <w:ind w:firstLine="240" w:firstLineChars="100"/>
              <w:rPr>
                <w:rFonts w:hint="eastAsia" w:eastAsia="宋体"/>
                <w:b/>
                <w:bCs/>
                <w:sz w:val="24"/>
                <w:szCs w:val="18"/>
                <w:lang w:eastAsia="zh-CN"/>
              </w:rPr>
            </w:pPr>
            <w:r>
              <w:rPr>
                <w:rFonts w:hint="eastAsia" w:ascii="宋体" w:hAnsi="宋体"/>
                <w:bCs/>
                <w:sz w:val="24"/>
                <w:szCs w:val="18"/>
                <w:lang w:eastAsia="zh-CN"/>
              </w:rPr>
              <w:t>安徽国翠玉艺股份有限公司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866" w:type="dxa"/>
            <w:noWrap w:val="0"/>
            <w:vAlign w:val="center"/>
          </w:tcPr>
          <w:p>
            <w:pPr>
              <w:jc w:val="center"/>
              <w:rPr>
                <w:rFonts w:hint="eastAsia" w:ascii="宋体" w:hAnsi="宋体"/>
                <w:bCs/>
                <w:sz w:val="24"/>
              </w:rPr>
            </w:pPr>
            <w:r>
              <w:rPr>
                <w:rFonts w:hint="eastAsia" w:ascii="宋体" w:hAnsi="宋体"/>
                <w:bCs/>
                <w:sz w:val="24"/>
              </w:rPr>
              <w:t>2</w:t>
            </w:r>
          </w:p>
        </w:tc>
        <w:tc>
          <w:tcPr>
            <w:tcW w:w="2389" w:type="dxa"/>
            <w:noWrap w:val="0"/>
            <w:vAlign w:val="center"/>
          </w:tcPr>
          <w:p>
            <w:pPr>
              <w:jc w:val="center"/>
              <w:rPr>
                <w:rFonts w:hint="eastAsia" w:ascii="宋体" w:hAnsi="宋体"/>
                <w:bCs/>
                <w:sz w:val="24"/>
              </w:rPr>
            </w:pPr>
            <w:r>
              <w:rPr>
                <w:rFonts w:hint="eastAsia" w:ascii="宋体" w:hAnsi="宋体"/>
                <w:bCs/>
                <w:sz w:val="24"/>
              </w:rPr>
              <w:t>项目名称</w:t>
            </w:r>
          </w:p>
        </w:tc>
        <w:tc>
          <w:tcPr>
            <w:tcW w:w="6090" w:type="dxa"/>
            <w:noWrap w:val="0"/>
            <w:vAlign w:val="center"/>
          </w:tcPr>
          <w:p>
            <w:pPr>
              <w:pStyle w:val="90"/>
              <w:widowControl w:val="0"/>
              <w:spacing w:before="0" w:beforeAutospacing="0" w:after="0" w:afterAutospacing="0"/>
              <w:jc w:val="both"/>
              <w:rPr>
                <w:rFonts w:hint="eastAsia"/>
                <w:b w:val="0"/>
                <w:kern w:val="2"/>
                <w:sz w:val="24"/>
                <w:szCs w:val="18"/>
              </w:rPr>
            </w:pPr>
            <w:r>
              <w:rPr>
                <w:rFonts w:hint="eastAsia"/>
                <w:b w:val="0"/>
                <w:kern w:val="2"/>
                <w:sz w:val="24"/>
                <w:szCs w:val="18"/>
              </w:rPr>
              <w:t xml:space="preserve"> </w:t>
            </w:r>
            <w:r>
              <w:rPr>
                <w:rFonts w:hint="eastAsia"/>
                <w:b w:val="0"/>
                <w:kern w:val="2"/>
                <w:sz w:val="24"/>
                <w:szCs w:val="18"/>
                <w:lang w:eastAsia="zh-CN"/>
              </w:rPr>
              <w:t xml:space="preserve"> 桐城玉雕文化产业园</w:t>
            </w:r>
            <w:r>
              <w:rPr>
                <w:rFonts w:hint="eastAsia"/>
                <w:b w:val="0"/>
                <w:kern w:val="2"/>
                <w:sz w:val="24"/>
                <w:szCs w:val="18"/>
              </w:rPr>
              <w:t>前期物业管理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866" w:type="dxa"/>
            <w:noWrap w:val="0"/>
            <w:vAlign w:val="center"/>
          </w:tcPr>
          <w:p>
            <w:pPr>
              <w:jc w:val="center"/>
              <w:rPr>
                <w:rFonts w:hint="eastAsia" w:ascii="宋体" w:hAnsi="宋体"/>
                <w:bCs/>
                <w:sz w:val="24"/>
              </w:rPr>
            </w:pPr>
            <w:r>
              <w:rPr>
                <w:rFonts w:hint="eastAsia" w:ascii="宋体" w:hAnsi="宋体"/>
                <w:bCs/>
                <w:sz w:val="24"/>
              </w:rPr>
              <w:t>3</w:t>
            </w:r>
          </w:p>
        </w:tc>
        <w:tc>
          <w:tcPr>
            <w:tcW w:w="2389" w:type="dxa"/>
            <w:noWrap w:val="0"/>
            <w:vAlign w:val="center"/>
          </w:tcPr>
          <w:p>
            <w:pPr>
              <w:jc w:val="center"/>
              <w:rPr>
                <w:rFonts w:hint="eastAsia" w:ascii="宋体" w:hAnsi="宋体"/>
                <w:sz w:val="24"/>
              </w:rPr>
            </w:pPr>
            <w:r>
              <w:rPr>
                <w:rFonts w:hint="eastAsia" w:ascii="宋体" w:hAnsi="宋体"/>
                <w:sz w:val="24"/>
              </w:rPr>
              <w:t>项目性质</w:t>
            </w:r>
          </w:p>
        </w:tc>
        <w:tc>
          <w:tcPr>
            <w:tcW w:w="6090" w:type="dxa"/>
            <w:noWrap w:val="0"/>
            <w:vAlign w:val="center"/>
          </w:tcPr>
          <w:p>
            <w:pPr>
              <w:pStyle w:val="90"/>
              <w:widowControl w:val="0"/>
              <w:spacing w:before="0" w:beforeAutospacing="0" w:after="0" w:afterAutospacing="0"/>
              <w:jc w:val="both"/>
              <w:rPr>
                <w:b w:val="0"/>
                <w:bCs w:val="0"/>
                <w:sz w:val="24"/>
              </w:rPr>
            </w:pPr>
            <w:r>
              <w:rPr>
                <w:rFonts w:hint="eastAsia"/>
                <w:b w:val="0"/>
                <w:bCs w:val="0"/>
                <w:sz w:val="24"/>
              </w:rPr>
              <w:t>服务类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866" w:type="dxa"/>
            <w:noWrap w:val="0"/>
            <w:vAlign w:val="center"/>
          </w:tcPr>
          <w:p>
            <w:pPr>
              <w:jc w:val="center"/>
              <w:rPr>
                <w:rFonts w:hint="eastAsia" w:ascii="宋体" w:hAnsi="宋体"/>
                <w:bCs/>
                <w:sz w:val="24"/>
              </w:rPr>
            </w:pPr>
            <w:r>
              <w:rPr>
                <w:rFonts w:hint="eastAsia" w:ascii="宋体" w:hAnsi="宋体"/>
                <w:bCs/>
                <w:sz w:val="24"/>
              </w:rPr>
              <w:t>4</w:t>
            </w:r>
          </w:p>
        </w:tc>
        <w:tc>
          <w:tcPr>
            <w:tcW w:w="2389" w:type="dxa"/>
            <w:noWrap w:val="0"/>
            <w:vAlign w:val="center"/>
          </w:tcPr>
          <w:p>
            <w:pPr>
              <w:jc w:val="center"/>
              <w:rPr>
                <w:rFonts w:hint="eastAsia" w:ascii="宋体" w:hAnsi="宋体"/>
                <w:sz w:val="24"/>
              </w:rPr>
            </w:pPr>
            <w:r>
              <w:rPr>
                <w:rFonts w:hint="eastAsia" w:ascii="宋体" w:hAnsi="宋体"/>
                <w:sz w:val="24"/>
              </w:rPr>
              <w:t>资金来源</w:t>
            </w:r>
          </w:p>
        </w:tc>
        <w:tc>
          <w:tcPr>
            <w:tcW w:w="6090" w:type="dxa"/>
            <w:noWrap w:val="0"/>
            <w:vAlign w:val="center"/>
          </w:tcPr>
          <w:p>
            <w:pPr>
              <w:pStyle w:val="90"/>
              <w:widowControl w:val="0"/>
              <w:spacing w:before="0" w:beforeAutospacing="0" w:after="0" w:afterAutospacing="0"/>
              <w:jc w:val="both"/>
              <w:rPr>
                <w:b w:val="0"/>
                <w:bCs w:val="0"/>
                <w:sz w:val="24"/>
              </w:rPr>
            </w:pPr>
            <w:r>
              <w:rPr>
                <w:rFonts w:hint="eastAsia"/>
                <w:b w:val="0"/>
                <w:bCs w:val="0"/>
                <w:sz w:val="24"/>
              </w:rPr>
              <w:t>□</w:t>
            </w:r>
            <w:r>
              <w:rPr>
                <w:rFonts w:hint="eastAsia"/>
                <w:b w:val="0"/>
                <w:bCs w:val="0"/>
                <w:sz w:val="24"/>
                <w:lang w:val="zh-CN"/>
              </w:rPr>
              <w:t xml:space="preserve">财政投资  </w:t>
            </w:r>
            <w:r>
              <w:rPr>
                <w:rFonts w:hint="eastAsia"/>
                <w:b w:val="0"/>
                <w:bCs w:val="0"/>
                <w:sz w:val="24"/>
              </w:rPr>
              <w:sym w:font="Wingdings" w:char="F0FE"/>
            </w:r>
            <w:r>
              <w:rPr>
                <w:rFonts w:hint="eastAsia"/>
                <w:b w:val="0"/>
                <w:bCs w:val="0"/>
                <w:sz w:val="24"/>
              </w:rPr>
              <w:t>招标人</w:t>
            </w:r>
            <w:r>
              <w:rPr>
                <w:rFonts w:hint="eastAsia"/>
                <w:b w:val="0"/>
                <w:bCs w:val="0"/>
                <w:sz w:val="24"/>
                <w:lang w:val="zh-CN"/>
              </w:rPr>
              <w:t xml:space="preserve">自筹  </w:t>
            </w:r>
            <w:r>
              <w:rPr>
                <w:rFonts w:hint="eastAsia"/>
                <w:b w:val="0"/>
                <w:bCs w:val="0"/>
                <w:sz w:val="24"/>
              </w:rPr>
              <w:t>□</w:t>
            </w:r>
            <w:r>
              <w:rPr>
                <w:rFonts w:hint="eastAsia"/>
                <w:b w:val="0"/>
                <w:bCs w:val="0"/>
                <w:sz w:val="24"/>
                <w:lang w:val="zh-CN"/>
              </w:rPr>
              <w:t>其他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866" w:type="dxa"/>
            <w:noWrap w:val="0"/>
            <w:vAlign w:val="center"/>
          </w:tcPr>
          <w:p>
            <w:pPr>
              <w:spacing w:line="500" w:lineRule="exact"/>
              <w:jc w:val="center"/>
              <w:rPr>
                <w:rFonts w:hint="eastAsia" w:ascii="宋体" w:hAnsi="宋体"/>
                <w:sz w:val="24"/>
              </w:rPr>
            </w:pPr>
            <w:r>
              <w:rPr>
                <w:rFonts w:hint="eastAsia" w:ascii="宋体" w:hAnsi="宋体"/>
                <w:sz w:val="24"/>
              </w:rPr>
              <w:t>5</w:t>
            </w:r>
          </w:p>
        </w:tc>
        <w:tc>
          <w:tcPr>
            <w:tcW w:w="2389" w:type="dxa"/>
            <w:noWrap w:val="0"/>
            <w:vAlign w:val="top"/>
          </w:tcPr>
          <w:p>
            <w:pPr>
              <w:spacing w:line="500" w:lineRule="exact"/>
              <w:jc w:val="center"/>
              <w:rPr>
                <w:rFonts w:hint="eastAsia" w:ascii="宋体" w:hAnsi="宋体"/>
                <w:sz w:val="24"/>
                <w:lang w:val="zh-CN"/>
              </w:rPr>
            </w:pPr>
            <w:r>
              <w:rPr>
                <w:rFonts w:hint="eastAsia" w:ascii="宋体" w:hAnsi="宋体"/>
                <w:sz w:val="24"/>
              </w:rPr>
              <w:t>包别划分</w:t>
            </w:r>
          </w:p>
        </w:tc>
        <w:tc>
          <w:tcPr>
            <w:tcW w:w="6090" w:type="dxa"/>
            <w:noWrap w:val="0"/>
            <w:vAlign w:val="center"/>
          </w:tcPr>
          <w:p>
            <w:pPr>
              <w:spacing w:line="500" w:lineRule="exact"/>
              <w:ind w:left="841" w:hanging="841"/>
              <w:rPr>
                <w:rFonts w:hint="eastAsia" w:ascii="宋体" w:hAnsi="宋体"/>
                <w:bCs/>
                <w:sz w:val="24"/>
              </w:rPr>
            </w:pPr>
            <w:r>
              <w:rPr>
                <w:rFonts w:hint="eastAsia"/>
                <w:b/>
                <w:bCs/>
                <w:sz w:val="24"/>
              </w:rPr>
              <w:sym w:font="Wingdings" w:char="F0FE"/>
            </w:r>
            <w:r>
              <w:rPr>
                <w:rFonts w:hint="eastAsia" w:ascii="宋体" w:hAnsi="宋体"/>
                <w:sz w:val="24"/>
              </w:rPr>
              <w:t>不分包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5" w:hRule="atLeast"/>
          <w:jc w:val="center"/>
        </w:trPr>
        <w:tc>
          <w:tcPr>
            <w:tcW w:w="866" w:type="dxa"/>
            <w:noWrap w:val="0"/>
            <w:vAlign w:val="center"/>
          </w:tcPr>
          <w:p>
            <w:pPr>
              <w:spacing w:line="500" w:lineRule="exact"/>
              <w:ind w:right="102"/>
              <w:jc w:val="center"/>
              <w:rPr>
                <w:rFonts w:hint="eastAsia" w:ascii="宋体" w:hAnsi="宋体"/>
                <w:sz w:val="24"/>
              </w:rPr>
            </w:pPr>
            <w:r>
              <w:rPr>
                <w:rFonts w:hint="eastAsia" w:ascii="宋体" w:hAnsi="宋体"/>
                <w:sz w:val="24"/>
              </w:rPr>
              <w:t>6</w:t>
            </w:r>
          </w:p>
        </w:tc>
        <w:tc>
          <w:tcPr>
            <w:tcW w:w="2389" w:type="dxa"/>
            <w:noWrap w:val="0"/>
            <w:vAlign w:val="center"/>
          </w:tcPr>
          <w:p>
            <w:pPr>
              <w:spacing w:line="500" w:lineRule="exact"/>
              <w:jc w:val="center"/>
              <w:rPr>
                <w:rFonts w:hint="eastAsia" w:ascii="宋体" w:hAnsi="宋体"/>
                <w:sz w:val="24"/>
              </w:rPr>
            </w:pPr>
            <w:r>
              <w:rPr>
                <w:rFonts w:hint="eastAsia" w:ascii="宋体" w:hAnsi="宋体"/>
                <w:sz w:val="24"/>
                <w:lang w:val="zh-CN"/>
              </w:rPr>
              <w:t>付款方式</w:t>
            </w:r>
          </w:p>
        </w:tc>
        <w:tc>
          <w:tcPr>
            <w:tcW w:w="6090" w:type="dxa"/>
            <w:noWrap w:val="0"/>
            <w:vAlign w:val="top"/>
          </w:tcPr>
          <w:p>
            <w:pPr>
              <w:pStyle w:val="76"/>
              <w:spacing w:line="500" w:lineRule="exact"/>
              <w:rPr>
                <w:rFonts w:hint="eastAsia" w:ascii="宋体" w:hAnsi="宋体"/>
                <w:bCs/>
              </w:rPr>
            </w:pPr>
            <w:r>
              <w:rPr>
                <w:rFonts w:hint="eastAsia" w:ascii="宋体" w:hAnsi="宋体"/>
                <w:lang w:val="zh-CN"/>
              </w:rPr>
              <w:t>付款方式：</w:t>
            </w:r>
            <w:r>
              <w:rPr>
                <w:rFonts w:hint="eastAsia" w:ascii="宋体" w:hAnsi="宋体"/>
                <w:bCs/>
              </w:rPr>
              <w:t>本合同以人民币付款。中标人应按双方签订的合同规定提供服务。物业管理费由中标人向业主依据其签订的服务合同约定方式收取。</w:t>
            </w:r>
          </w:p>
          <w:p>
            <w:pPr>
              <w:pStyle w:val="76"/>
              <w:spacing w:line="500" w:lineRule="exact"/>
              <w:rPr>
                <w:rFonts w:hint="eastAsia" w:ascii="宋体" w:hAnsi="宋体"/>
                <w:u w:val="single"/>
                <w:lang w:val="zh-CN"/>
              </w:rPr>
            </w:pPr>
            <w:r>
              <w:rPr>
                <w:rFonts w:hint="eastAsia" w:ascii="宋体" w:hAnsi="宋体"/>
                <w:bCs/>
              </w:rPr>
              <w:t>投标人提交的投标文件中如有关于付款条件的表述与招标文件规定不符，投标无效。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3" w:hRule="atLeast"/>
          <w:jc w:val="center"/>
        </w:trPr>
        <w:tc>
          <w:tcPr>
            <w:tcW w:w="866" w:type="dxa"/>
            <w:noWrap w:val="0"/>
            <w:vAlign w:val="center"/>
          </w:tcPr>
          <w:p>
            <w:pPr>
              <w:spacing w:line="500" w:lineRule="exact"/>
              <w:ind w:right="102"/>
              <w:jc w:val="center"/>
              <w:rPr>
                <w:rFonts w:hint="eastAsia" w:ascii="宋体" w:hAnsi="宋体"/>
                <w:sz w:val="24"/>
              </w:rPr>
            </w:pPr>
            <w:r>
              <w:rPr>
                <w:rFonts w:hint="eastAsia" w:ascii="宋体" w:hAnsi="宋体"/>
                <w:sz w:val="24"/>
              </w:rPr>
              <w:t>7</w:t>
            </w:r>
          </w:p>
        </w:tc>
        <w:tc>
          <w:tcPr>
            <w:tcW w:w="2389" w:type="dxa"/>
            <w:noWrap w:val="0"/>
            <w:vAlign w:val="center"/>
          </w:tcPr>
          <w:p>
            <w:pPr>
              <w:spacing w:line="500" w:lineRule="exact"/>
              <w:jc w:val="center"/>
              <w:rPr>
                <w:rFonts w:hint="eastAsia" w:ascii="宋体" w:hAnsi="宋体"/>
                <w:sz w:val="24"/>
              </w:rPr>
            </w:pPr>
            <w:r>
              <w:rPr>
                <w:rFonts w:hint="eastAsia" w:ascii="宋体" w:hAnsi="宋体"/>
                <w:sz w:val="24"/>
              </w:rPr>
              <w:t>联合体投标</w:t>
            </w:r>
          </w:p>
        </w:tc>
        <w:tc>
          <w:tcPr>
            <w:tcW w:w="6090" w:type="dxa"/>
            <w:noWrap w:val="0"/>
            <w:vAlign w:val="center"/>
          </w:tcPr>
          <w:p>
            <w:pPr>
              <w:spacing w:line="500" w:lineRule="exact"/>
              <w:rPr>
                <w:rFonts w:hint="eastAsia" w:ascii="宋体" w:hAnsi="宋体"/>
                <w:sz w:val="24"/>
              </w:rPr>
            </w:pPr>
            <w:r>
              <w:rPr>
                <w:rFonts w:hint="eastAsia" w:ascii="宋体" w:hAnsi="宋体"/>
                <w:sz w:val="24"/>
              </w:rPr>
              <w:t>□</w:t>
            </w:r>
            <w:r>
              <w:rPr>
                <w:rFonts w:hint="eastAsia" w:ascii="宋体" w:hAnsi="宋体"/>
                <w:sz w:val="24"/>
                <w:lang w:val="zh-CN"/>
              </w:rPr>
              <w:t xml:space="preserve">允许  </w:t>
            </w:r>
            <w:r>
              <w:rPr>
                <w:rFonts w:hint="eastAsia"/>
                <w:b/>
                <w:bCs/>
                <w:sz w:val="24"/>
              </w:rPr>
              <w:sym w:font="Wingdings" w:char="F0FE"/>
            </w:r>
            <w:r>
              <w:rPr>
                <w:rFonts w:hint="eastAsia" w:ascii="宋体" w:hAnsi="宋体"/>
                <w:sz w:val="24"/>
              </w:rPr>
              <w:t>不允许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3" w:hRule="atLeast"/>
          <w:jc w:val="center"/>
        </w:trPr>
        <w:tc>
          <w:tcPr>
            <w:tcW w:w="866" w:type="dxa"/>
            <w:noWrap w:val="0"/>
            <w:vAlign w:val="center"/>
          </w:tcPr>
          <w:p>
            <w:pPr>
              <w:spacing w:line="500" w:lineRule="exact"/>
              <w:jc w:val="center"/>
              <w:rPr>
                <w:rFonts w:hint="eastAsia" w:ascii="宋体" w:hAnsi="宋体"/>
                <w:sz w:val="24"/>
              </w:rPr>
            </w:pPr>
            <w:r>
              <w:rPr>
                <w:rFonts w:hint="eastAsia" w:ascii="宋体" w:hAnsi="宋体"/>
                <w:sz w:val="24"/>
              </w:rPr>
              <w:t>8</w:t>
            </w:r>
          </w:p>
        </w:tc>
        <w:tc>
          <w:tcPr>
            <w:tcW w:w="2389" w:type="dxa"/>
            <w:noWrap w:val="0"/>
            <w:vAlign w:val="center"/>
          </w:tcPr>
          <w:p>
            <w:pPr>
              <w:spacing w:line="500" w:lineRule="exact"/>
              <w:jc w:val="center"/>
              <w:rPr>
                <w:rFonts w:hint="eastAsia" w:ascii="宋体" w:hAnsi="宋体"/>
                <w:sz w:val="24"/>
                <w:lang w:val="zh-CN"/>
              </w:rPr>
            </w:pPr>
            <w:r>
              <w:rPr>
                <w:rFonts w:hint="eastAsia" w:ascii="宋体" w:hAnsi="宋体"/>
                <w:sz w:val="24"/>
              </w:rPr>
              <w:t>投标有效期</w:t>
            </w:r>
          </w:p>
        </w:tc>
        <w:tc>
          <w:tcPr>
            <w:tcW w:w="6090" w:type="dxa"/>
            <w:noWrap w:val="0"/>
            <w:vAlign w:val="center"/>
          </w:tcPr>
          <w:p>
            <w:pPr>
              <w:spacing w:line="500" w:lineRule="exact"/>
              <w:rPr>
                <w:rFonts w:hint="eastAsia" w:ascii="宋体" w:hAnsi="宋体"/>
                <w:sz w:val="24"/>
              </w:rPr>
            </w:pPr>
            <w:r>
              <w:rPr>
                <w:rFonts w:hint="eastAsia" w:ascii="宋体" w:hAnsi="宋体"/>
                <w:bCs/>
                <w:sz w:val="24"/>
              </w:rPr>
              <w:t>开标后30天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3" w:hRule="atLeast"/>
          <w:jc w:val="center"/>
        </w:trPr>
        <w:tc>
          <w:tcPr>
            <w:tcW w:w="866" w:type="dxa"/>
            <w:noWrap w:val="0"/>
            <w:vAlign w:val="center"/>
          </w:tcPr>
          <w:p>
            <w:pPr>
              <w:spacing w:line="500" w:lineRule="exact"/>
              <w:jc w:val="center"/>
              <w:rPr>
                <w:rFonts w:hint="eastAsia" w:ascii="宋体" w:hAnsi="宋体"/>
                <w:sz w:val="24"/>
              </w:rPr>
            </w:pPr>
            <w:r>
              <w:rPr>
                <w:rFonts w:hint="eastAsia" w:ascii="宋体" w:hAnsi="宋体"/>
                <w:sz w:val="24"/>
              </w:rPr>
              <w:t>9</w:t>
            </w:r>
          </w:p>
        </w:tc>
        <w:tc>
          <w:tcPr>
            <w:tcW w:w="2389" w:type="dxa"/>
            <w:noWrap w:val="0"/>
            <w:vAlign w:val="top"/>
          </w:tcPr>
          <w:p>
            <w:pPr>
              <w:spacing w:line="500" w:lineRule="exact"/>
              <w:jc w:val="center"/>
              <w:rPr>
                <w:rFonts w:hint="eastAsia" w:ascii="宋体" w:hAnsi="宋体"/>
                <w:sz w:val="24"/>
              </w:rPr>
            </w:pPr>
            <w:r>
              <w:rPr>
                <w:rFonts w:hint="eastAsia" w:ascii="宋体" w:hAnsi="宋体"/>
                <w:sz w:val="24"/>
              </w:rPr>
              <w:t>服务地点</w:t>
            </w:r>
          </w:p>
        </w:tc>
        <w:tc>
          <w:tcPr>
            <w:tcW w:w="6090" w:type="dxa"/>
            <w:noWrap w:val="0"/>
            <w:vAlign w:val="top"/>
          </w:tcPr>
          <w:p>
            <w:pPr>
              <w:spacing w:line="500" w:lineRule="exact"/>
              <w:rPr>
                <w:rFonts w:hint="eastAsia" w:ascii="宋体" w:hAnsi="宋体" w:eastAsia="宋体"/>
                <w:sz w:val="24"/>
                <w:lang w:eastAsia="zh-CN"/>
              </w:rPr>
            </w:pPr>
            <w:r>
              <w:rPr>
                <w:rFonts w:hint="eastAsia"/>
                <w:sz w:val="24"/>
                <w:szCs w:val="18"/>
                <w:lang w:eastAsia="zh-CN"/>
              </w:rPr>
              <w:t>桐城玉雕文化产业园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2" w:hRule="atLeast"/>
          <w:jc w:val="center"/>
        </w:trPr>
        <w:tc>
          <w:tcPr>
            <w:tcW w:w="866" w:type="dxa"/>
            <w:noWrap w:val="0"/>
            <w:vAlign w:val="center"/>
          </w:tcPr>
          <w:p>
            <w:pPr>
              <w:spacing w:line="500" w:lineRule="exact"/>
              <w:jc w:val="center"/>
              <w:rPr>
                <w:rFonts w:hint="eastAsia" w:ascii="宋体" w:hAnsi="宋体"/>
                <w:sz w:val="24"/>
              </w:rPr>
            </w:pPr>
            <w:r>
              <w:rPr>
                <w:rFonts w:hint="eastAsia" w:ascii="宋体" w:hAnsi="宋体"/>
                <w:sz w:val="24"/>
              </w:rPr>
              <w:t>10</w:t>
            </w:r>
          </w:p>
        </w:tc>
        <w:tc>
          <w:tcPr>
            <w:tcW w:w="2389" w:type="dxa"/>
            <w:noWrap w:val="0"/>
            <w:vAlign w:val="center"/>
          </w:tcPr>
          <w:p>
            <w:pPr>
              <w:spacing w:line="500" w:lineRule="exact"/>
              <w:jc w:val="center"/>
              <w:rPr>
                <w:rFonts w:hint="eastAsia" w:ascii="宋体" w:hAnsi="宋体"/>
                <w:sz w:val="24"/>
              </w:rPr>
            </w:pPr>
            <w:r>
              <w:rPr>
                <w:rFonts w:hint="eastAsia" w:ascii="宋体" w:hAnsi="宋体"/>
                <w:sz w:val="24"/>
              </w:rPr>
              <w:t>服务周期</w:t>
            </w:r>
          </w:p>
        </w:tc>
        <w:tc>
          <w:tcPr>
            <w:tcW w:w="6090" w:type="dxa"/>
            <w:noWrap w:val="0"/>
            <w:vAlign w:val="center"/>
          </w:tcPr>
          <w:p>
            <w:pPr>
              <w:spacing w:line="500" w:lineRule="exact"/>
              <w:rPr>
                <w:rFonts w:ascii="宋体" w:hAnsi="宋体"/>
                <w:sz w:val="24"/>
              </w:rPr>
            </w:pPr>
            <w:r>
              <w:rPr>
                <w:rFonts w:hint="eastAsia" w:ascii="宋体" w:hAnsi="宋体"/>
                <w:sz w:val="24"/>
                <w:highlight w:val="none"/>
              </w:rPr>
              <w:t>合同后</w:t>
            </w:r>
            <w:r>
              <w:rPr>
                <w:rFonts w:hint="eastAsia" w:ascii="宋体" w:hAnsi="宋体"/>
                <w:sz w:val="24"/>
                <w:highlight w:val="none"/>
                <w:lang w:val="en-US" w:eastAsia="zh-CN"/>
              </w:rPr>
              <w:t>5</w:t>
            </w:r>
            <w:r>
              <w:rPr>
                <w:rFonts w:hint="eastAsia" w:ascii="宋体" w:hAnsi="宋体"/>
                <w:sz w:val="24"/>
                <w:highlight w:val="none"/>
              </w:rPr>
              <w:t>年，</w:t>
            </w:r>
            <w:r>
              <w:rPr>
                <w:rFonts w:hint="eastAsia" w:ascii="宋体" w:hAnsi="宋体"/>
                <w:sz w:val="24"/>
                <w:szCs w:val="28"/>
                <w:highlight w:val="none"/>
              </w:rPr>
              <w:t>若</w:t>
            </w:r>
            <w:r>
              <w:rPr>
                <w:rFonts w:hint="eastAsia" w:ascii="宋体" w:hAnsi="宋体"/>
                <w:sz w:val="24"/>
                <w:szCs w:val="28"/>
              </w:rPr>
              <w:t>合同期满甲乙双方无异议，则合同顺延</w:t>
            </w:r>
            <w:r>
              <w:rPr>
                <w:rFonts w:hint="eastAsia" w:ascii="宋体" w:hAnsi="宋体"/>
                <w:sz w:val="24"/>
                <w:szCs w:val="28"/>
                <w:lang w:eastAsia="zh-CN"/>
              </w:rPr>
              <w:t>；</w:t>
            </w:r>
            <w:r>
              <w:rPr>
                <w:rFonts w:hint="eastAsia" w:ascii="宋体" w:hAnsi="宋体"/>
                <w:sz w:val="24"/>
              </w:rPr>
              <w:t>期间业主委员会成立后并选定新物业公司，本合同终止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6" w:hRule="atLeast"/>
          <w:jc w:val="center"/>
        </w:trPr>
        <w:tc>
          <w:tcPr>
            <w:tcW w:w="866" w:type="dxa"/>
            <w:noWrap w:val="0"/>
            <w:vAlign w:val="center"/>
          </w:tcPr>
          <w:p>
            <w:pPr>
              <w:spacing w:line="500" w:lineRule="exact"/>
              <w:jc w:val="center"/>
              <w:rPr>
                <w:rFonts w:hint="eastAsia" w:ascii="宋体" w:hAnsi="宋体"/>
                <w:sz w:val="24"/>
              </w:rPr>
            </w:pPr>
            <w:r>
              <w:rPr>
                <w:rFonts w:hint="eastAsia" w:ascii="宋体" w:hAnsi="宋体"/>
                <w:sz w:val="24"/>
              </w:rPr>
              <w:t>11</w:t>
            </w:r>
          </w:p>
        </w:tc>
        <w:tc>
          <w:tcPr>
            <w:tcW w:w="2389" w:type="dxa"/>
            <w:noWrap w:val="0"/>
            <w:vAlign w:val="center"/>
          </w:tcPr>
          <w:p>
            <w:pPr>
              <w:spacing w:line="500" w:lineRule="exact"/>
              <w:jc w:val="center"/>
              <w:rPr>
                <w:rFonts w:hint="eastAsia" w:ascii="宋体" w:hAnsi="宋体"/>
                <w:sz w:val="24"/>
                <w:lang w:val="zh-CN"/>
              </w:rPr>
            </w:pPr>
            <w:r>
              <w:rPr>
                <w:rFonts w:hint="eastAsia" w:ascii="宋体" w:hAnsi="宋体"/>
                <w:sz w:val="24"/>
              </w:rPr>
              <w:t>投标保证金金额</w:t>
            </w:r>
          </w:p>
        </w:tc>
        <w:tc>
          <w:tcPr>
            <w:tcW w:w="6090" w:type="dxa"/>
            <w:noWrap w:val="0"/>
            <w:vAlign w:val="center"/>
          </w:tcPr>
          <w:p>
            <w:pPr>
              <w:adjustRightInd w:val="0"/>
              <w:spacing w:line="460" w:lineRule="exact"/>
              <w:rPr>
                <w:rFonts w:ascii="宋体" w:hAnsi="宋体"/>
                <w:sz w:val="24"/>
              </w:rPr>
            </w:pPr>
            <w:r>
              <w:rPr>
                <w:rFonts w:hint="eastAsia" w:ascii="宋体" w:hAnsi="宋体"/>
                <w:sz w:val="24"/>
              </w:rPr>
              <w:t>免收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66" w:type="dxa"/>
            <w:noWrap w:val="0"/>
            <w:vAlign w:val="center"/>
          </w:tcPr>
          <w:p>
            <w:pPr>
              <w:spacing w:line="500" w:lineRule="exact"/>
              <w:jc w:val="center"/>
              <w:rPr>
                <w:rFonts w:hint="eastAsia" w:ascii="宋体" w:hAnsi="宋体"/>
                <w:sz w:val="24"/>
              </w:rPr>
            </w:pPr>
            <w:r>
              <w:rPr>
                <w:rFonts w:hint="eastAsia" w:ascii="宋体" w:hAnsi="宋体"/>
                <w:sz w:val="24"/>
              </w:rPr>
              <w:t>12</w:t>
            </w:r>
          </w:p>
        </w:tc>
        <w:tc>
          <w:tcPr>
            <w:tcW w:w="2389" w:type="dxa"/>
            <w:noWrap w:val="0"/>
            <w:vAlign w:val="center"/>
          </w:tcPr>
          <w:p>
            <w:pPr>
              <w:spacing w:line="500" w:lineRule="exact"/>
              <w:jc w:val="center"/>
              <w:rPr>
                <w:rFonts w:hint="eastAsia" w:ascii="宋体" w:hAnsi="宋体"/>
                <w:sz w:val="24"/>
              </w:rPr>
            </w:pPr>
            <w:r>
              <w:rPr>
                <w:rFonts w:hint="eastAsia" w:ascii="宋体" w:hAnsi="宋体"/>
                <w:bCs/>
                <w:sz w:val="24"/>
              </w:rPr>
              <w:t>答疑</w:t>
            </w:r>
          </w:p>
        </w:tc>
        <w:tc>
          <w:tcPr>
            <w:tcW w:w="6090" w:type="dxa"/>
            <w:noWrap w:val="0"/>
            <w:vAlign w:val="center"/>
          </w:tcPr>
          <w:p>
            <w:pPr>
              <w:spacing w:line="500" w:lineRule="exact"/>
              <w:rPr>
                <w:rFonts w:hint="eastAsia" w:ascii="宋体" w:hAnsi="宋体"/>
                <w:bCs/>
                <w:sz w:val="24"/>
              </w:rPr>
            </w:pPr>
            <w:r>
              <w:rPr>
                <w:rFonts w:hint="eastAsia" w:ascii="宋体" w:hAnsi="宋体"/>
                <w:sz w:val="24"/>
              </w:rPr>
              <w:t>投标截止日前10天由潜在投标人向招标人提出咨询，答疑。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66" w:type="dxa"/>
            <w:noWrap w:val="0"/>
            <w:vAlign w:val="center"/>
          </w:tcPr>
          <w:p>
            <w:pPr>
              <w:spacing w:line="500" w:lineRule="exact"/>
              <w:jc w:val="center"/>
              <w:rPr>
                <w:rFonts w:hint="eastAsia" w:ascii="宋体" w:hAnsi="宋体"/>
                <w:sz w:val="24"/>
              </w:rPr>
            </w:pPr>
            <w:r>
              <w:rPr>
                <w:rFonts w:hint="eastAsia" w:ascii="宋体" w:hAnsi="宋体"/>
                <w:sz w:val="24"/>
              </w:rPr>
              <w:t>13</w:t>
            </w:r>
          </w:p>
        </w:tc>
        <w:tc>
          <w:tcPr>
            <w:tcW w:w="2389" w:type="dxa"/>
            <w:noWrap w:val="0"/>
            <w:vAlign w:val="center"/>
          </w:tcPr>
          <w:p>
            <w:pPr>
              <w:spacing w:line="500" w:lineRule="exact"/>
              <w:jc w:val="center"/>
              <w:rPr>
                <w:rFonts w:hint="eastAsia" w:ascii="宋体" w:hAnsi="宋体"/>
                <w:bCs/>
                <w:sz w:val="24"/>
              </w:rPr>
            </w:pPr>
            <w:r>
              <w:rPr>
                <w:rFonts w:hint="eastAsia" w:ascii="宋体" w:hAnsi="宋体"/>
                <w:bCs/>
                <w:sz w:val="24"/>
              </w:rPr>
              <w:t>勘察现场</w:t>
            </w:r>
          </w:p>
        </w:tc>
        <w:tc>
          <w:tcPr>
            <w:tcW w:w="6090" w:type="dxa"/>
            <w:noWrap w:val="0"/>
            <w:vAlign w:val="center"/>
          </w:tcPr>
          <w:p>
            <w:pPr>
              <w:spacing w:line="500" w:lineRule="exact"/>
              <w:rPr>
                <w:rFonts w:hint="eastAsia" w:ascii="宋体" w:hAnsi="宋体"/>
                <w:bCs/>
                <w:sz w:val="24"/>
              </w:rPr>
            </w:pPr>
            <w:r>
              <w:rPr>
                <w:rFonts w:hint="eastAsia"/>
                <w:b/>
                <w:bCs/>
                <w:sz w:val="24"/>
              </w:rPr>
              <w:sym w:font="Wingdings" w:char="F0FE"/>
            </w:r>
            <w:r>
              <w:rPr>
                <w:rFonts w:hint="eastAsia" w:ascii="宋体" w:hAnsi="宋体"/>
                <w:bCs/>
                <w:sz w:val="24"/>
              </w:rPr>
              <w:t>自行勘察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66" w:type="dxa"/>
            <w:noWrap w:val="0"/>
            <w:vAlign w:val="center"/>
          </w:tcPr>
          <w:p>
            <w:pPr>
              <w:spacing w:line="500" w:lineRule="exact"/>
              <w:jc w:val="center"/>
              <w:rPr>
                <w:rFonts w:hint="eastAsia" w:ascii="宋体" w:hAnsi="宋体"/>
                <w:sz w:val="24"/>
              </w:rPr>
            </w:pPr>
            <w:r>
              <w:rPr>
                <w:rFonts w:hint="eastAsia" w:ascii="宋体" w:hAnsi="宋体"/>
                <w:sz w:val="24"/>
              </w:rPr>
              <w:t>14</w:t>
            </w:r>
          </w:p>
        </w:tc>
        <w:tc>
          <w:tcPr>
            <w:tcW w:w="2389" w:type="dxa"/>
            <w:noWrap w:val="0"/>
            <w:vAlign w:val="center"/>
          </w:tcPr>
          <w:p>
            <w:pPr>
              <w:spacing w:line="500" w:lineRule="exact"/>
              <w:jc w:val="center"/>
              <w:rPr>
                <w:rFonts w:hint="eastAsia" w:ascii="宋体" w:hAnsi="宋体"/>
                <w:sz w:val="24"/>
              </w:rPr>
            </w:pPr>
            <w:r>
              <w:rPr>
                <w:rFonts w:hint="eastAsia" w:ascii="宋体" w:hAnsi="宋体"/>
                <w:sz w:val="24"/>
              </w:rPr>
              <w:t>标书份数及要求</w:t>
            </w:r>
          </w:p>
        </w:tc>
        <w:tc>
          <w:tcPr>
            <w:tcW w:w="6090" w:type="dxa"/>
            <w:noWrap w:val="0"/>
            <w:vAlign w:val="center"/>
          </w:tcPr>
          <w:p>
            <w:pPr>
              <w:spacing w:line="500" w:lineRule="exact"/>
              <w:rPr>
                <w:rFonts w:hint="eastAsia" w:ascii="宋体" w:hAnsi="宋体"/>
                <w:bCs/>
                <w:sz w:val="24"/>
              </w:rPr>
            </w:pPr>
            <w:r>
              <w:rPr>
                <w:rFonts w:hint="eastAsia" w:ascii="宋体" w:hAnsi="宋体"/>
                <w:bCs/>
                <w:sz w:val="24"/>
              </w:rPr>
              <w:t>1、技术标正本1</w:t>
            </w:r>
            <w:r>
              <w:rPr>
                <w:rFonts w:ascii="宋体" w:hAnsi="宋体"/>
                <w:bCs/>
                <w:sz w:val="24"/>
              </w:rPr>
              <w:t xml:space="preserve"> </w:t>
            </w:r>
            <w:r>
              <w:rPr>
                <w:rFonts w:hint="eastAsia" w:ascii="宋体" w:hAnsi="宋体"/>
                <w:bCs/>
                <w:sz w:val="24"/>
              </w:rPr>
              <w:t>份，副本4份；</w:t>
            </w:r>
          </w:p>
          <w:p>
            <w:pPr>
              <w:spacing w:line="500" w:lineRule="exact"/>
              <w:rPr>
                <w:rFonts w:hint="eastAsia" w:ascii="宋体" w:hAnsi="宋体"/>
                <w:bCs/>
                <w:sz w:val="24"/>
              </w:rPr>
            </w:pPr>
            <w:r>
              <w:rPr>
                <w:rFonts w:hint="eastAsia" w:ascii="宋体" w:hAnsi="宋体"/>
                <w:bCs/>
                <w:sz w:val="24"/>
              </w:rPr>
              <w:t>2、商务标正本1份，副本4份；</w:t>
            </w:r>
          </w:p>
          <w:p>
            <w:pPr>
              <w:spacing w:line="500" w:lineRule="exact"/>
              <w:rPr>
                <w:rFonts w:hint="eastAsia" w:ascii="宋体" w:hAnsi="宋体"/>
                <w:bCs/>
                <w:sz w:val="24"/>
              </w:rPr>
            </w:pPr>
            <w:r>
              <w:rPr>
                <w:rFonts w:hint="eastAsia" w:eastAsia="新宋体"/>
                <w:sz w:val="24"/>
              </w:rPr>
              <w:t>3、电子文件1份（U盘）。</w:t>
            </w:r>
          </w:p>
          <w:p>
            <w:pPr>
              <w:spacing w:line="500" w:lineRule="exact"/>
              <w:rPr>
                <w:rFonts w:hint="eastAsia" w:ascii="宋体" w:hAnsi="宋体"/>
                <w:b/>
                <w:bCs/>
                <w:sz w:val="24"/>
              </w:rPr>
            </w:pPr>
            <w:r>
              <w:rPr>
                <w:rFonts w:hint="eastAsia" w:ascii="宋体" w:hAnsi="宋体"/>
                <w:b/>
                <w:bCs/>
                <w:sz w:val="24"/>
              </w:rPr>
              <w:t>技术标、商务标必须分别封装,密封提交。</w:t>
            </w:r>
          </w:p>
          <w:p>
            <w:pPr>
              <w:spacing w:line="500" w:lineRule="exact"/>
              <w:rPr>
                <w:rFonts w:hint="eastAsia" w:ascii="宋体" w:hAnsi="宋体"/>
                <w:bCs/>
                <w:sz w:val="24"/>
              </w:rPr>
            </w:pPr>
            <w:r>
              <w:rPr>
                <w:rFonts w:hint="eastAsia" w:ascii="宋体" w:hAnsi="宋体"/>
                <w:bCs/>
                <w:sz w:val="24"/>
              </w:rPr>
              <w:t>投标文件的格式及签署要求详见招标文件第二部分第五章投标人须知</w:t>
            </w:r>
          </w:p>
          <w:p>
            <w:pPr>
              <w:spacing w:line="500" w:lineRule="exact"/>
              <w:rPr>
                <w:rFonts w:hint="eastAsia" w:ascii="宋体" w:hAnsi="宋体"/>
                <w:b/>
                <w:sz w:val="24"/>
              </w:rPr>
            </w:pPr>
            <w:r>
              <w:rPr>
                <w:rFonts w:hint="eastAsia" w:ascii="宋体" w:hAnsi="宋体"/>
                <w:b/>
                <w:bCs/>
                <w:sz w:val="24"/>
              </w:rPr>
              <w:t>为方便开标唱标，投标人应将《投标一览表》、电子文件一齐密封提交，并在信封上标明“《投标一览表》+电子版本”字样。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66" w:type="dxa"/>
            <w:noWrap w:val="0"/>
            <w:vAlign w:val="center"/>
          </w:tcPr>
          <w:p>
            <w:pPr>
              <w:spacing w:line="500" w:lineRule="exact"/>
              <w:jc w:val="center"/>
              <w:rPr>
                <w:rFonts w:hint="eastAsia" w:ascii="宋体" w:hAnsi="宋体"/>
                <w:sz w:val="24"/>
              </w:rPr>
            </w:pPr>
            <w:r>
              <w:rPr>
                <w:rFonts w:hint="eastAsia" w:ascii="宋体" w:hAnsi="宋体"/>
                <w:sz w:val="24"/>
              </w:rPr>
              <w:t>15</w:t>
            </w:r>
          </w:p>
        </w:tc>
        <w:tc>
          <w:tcPr>
            <w:tcW w:w="2389" w:type="dxa"/>
            <w:noWrap w:val="0"/>
            <w:vAlign w:val="center"/>
          </w:tcPr>
          <w:p>
            <w:pPr>
              <w:spacing w:line="500" w:lineRule="exact"/>
              <w:ind w:left="841" w:hanging="841"/>
              <w:jc w:val="center"/>
              <w:rPr>
                <w:rFonts w:hint="eastAsia" w:ascii="宋体" w:hAnsi="宋体"/>
                <w:sz w:val="24"/>
              </w:rPr>
            </w:pPr>
            <w:r>
              <w:rPr>
                <w:rFonts w:hint="eastAsia" w:ascii="宋体" w:hAnsi="宋体"/>
                <w:sz w:val="24"/>
              </w:rPr>
              <w:t>投标时间及地点</w:t>
            </w:r>
          </w:p>
        </w:tc>
        <w:tc>
          <w:tcPr>
            <w:tcW w:w="6090" w:type="dxa"/>
            <w:noWrap w:val="0"/>
            <w:vAlign w:val="center"/>
          </w:tcPr>
          <w:p>
            <w:pPr>
              <w:spacing w:line="500" w:lineRule="exact"/>
              <w:rPr>
                <w:rFonts w:hint="eastAsia" w:ascii="宋体" w:hAnsi="宋体"/>
                <w:sz w:val="24"/>
                <w:highlight w:val="none"/>
                <w:lang w:val="zh-CN"/>
              </w:rPr>
            </w:pPr>
            <w:r>
              <w:rPr>
                <w:rFonts w:hint="eastAsia" w:ascii="宋体" w:hAnsi="宋体"/>
                <w:sz w:val="24"/>
                <w:highlight w:val="none"/>
              </w:rPr>
              <w:t>投标截止时间：</w:t>
            </w:r>
            <w:r>
              <w:rPr>
                <w:rFonts w:hint="eastAsia" w:ascii="宋体" w:hAnsi="宋体"/>
                <w:bCs/>
                <w:color w:val="000000"/>
                <w:sz w:val="24"/>
                <w:szCs w:val="18"/>
                <w:highlight w:val="none"/>
                <w:lang w:val="en-US" w:eastAsia="zh-CN"/>
              </w:rPr>
              <w:t>2022</w:t>
            </w:r>
            <w:r>
              <w:rPr>
                <w:rFonts w:hint="eastAsia" w:ascii="宋体" w:hAnsi="宋体"/>
                <w:bCs/>
                <w:color w:val="000000"/>
                <w:sz w:val="24"/>
                <w:szCs w:val="18"/>
                <w:highlight w:val="none"/>
              </w:rPr>
              <w:t>年</w:t>
            </w:r>
            <w:r>
              <w:rPr>
                <w:rFonts w:hint="eastAsia" w:ascii="宋体" w:hAnsi="宋体"/>
                <w:bCs/>
                <w:color w:val="000000"/>
                <w:sz w:val="24"/>
                <w:szCs w:val="18"/>
                <w:highlight w:val="none"/>
                <w:lang w:val="en-US" w:eastAsia="zh-CN"/>
              </w:rPr>
              <w:t>8</w:t>
            </w:r>
            <w:r>
              <w:rPr>
                <w:rFonts w:hint="eastAsia" w:ascii="宋体" w:hAnsi="宋体"/>
                <w:bCs/>
                <w:color w:val="000000"/>
                <w:sz w:val="24"/>
                <w:szCs w:val="18"/>
                <w:highlight w:val="none"/>
              </w:rPr>
              <w:t>月</w:t>
            </w:r>
            <w:r>
              <w:rPr>
                <w:rFonts w:hint="eastAsia" w:ascii="宋体" w:hAnsi="宋体"/>
                <w:bCs/>
                <w:color w:val="000000"/>
                <w:sz w:val="24"/>
                <w:szCs w:val="18"/>
                <w:highlight w:val="none"/>
                <w:lang w:val="en-US" w:eastAsia="zh-CN"/>
              </w:rPr>
              <w:t>11</w:t>
            </w:r>
            <w:bookmarkStart w:id="58" w:name="_GoBack"/>
            <w:bookmarkEnd w:id="58"/>
            <w:r>
              <w:rPr>
                <w:rFonts w:hint="eastAsia" w:ascii="宋体" w:hAnsi="宋体"/>
                <w:bCs/>
                <w:color w:val="000000"/>
                <w:sz w:val="24"/>
                <w:szCs w:val="18"/>
                <w:highlight w:val="none"/>
              </w:rPr>
              <w:t>日</w:t>
            </w:r>
            <w:r>
              <w:rPr>
                <w:rFonts w:hint="eastAsia" w:ascii="宋体" w:hAnsi="宋体"/>
                <w:bCs/>
                <w:color w:val="000000"/>
                <w:sz w:val="24"/>
                <w:szCs w:val="18"/>
                <w:highlight w:val="none"/>
                <w:lang w:val="en-US" w:eastAsia="zh-CN"/>
              </w:rPr>
              <w:t>9:00止</w:t>
            </w:r>
          </w:p>
          <w:p>
            <w:pPr>
              <w:spacing w:line="500" w:lineRule="exact"/>
              <w:rPr>
                <w:rFonts w:hint="eastAsia" w:ascii="宋体" w:hAnsi="宋体"/>
                <w:sz w:val="24"/>
                <w:lang w:val="zh-CN"/>
              </w:rPr>
            </w:pPr>
            <w:r>
              <w:rPr>
                <w:rFonts w:hint="eastAsia" w:ascii="宋体" w:hAnsi="宋体"/>
                <w:sz w:val="24"/>
              </w:rPr>
              <w:t>标书递交地点：</w:t>
            </w:r>
            <w:r>
              <w:rPr>
                <w:rFonts w:hint="eastAsia" w:ascii="宋体" w:hAnsi="宋体"/>
                <w:sz w:val="24"/>
                <w:highlight w:val="none"/>
                <w:lang w:eastAsia="zh-CN"/>
              </w:rPr>
              <w:t>国翠公馆会议室</w:t>
            </w:r>
            <w:r>
              <w:rPr>
                <w:rFonts w:hint="eastAsia" w:ascii="宋体" w:hAnsi="宋体"/>
                <w:bCs/>
                <w:sz w:val="24"/>
                <w:szCs w:val="18"/>
                <w:highlight w:val="none"/>
              </w:rPr>
              <w:t xml:space="preserve"> </w:t>
            </w:r>
          </w:p>
          <w:p>
            <w:pPr>
              <w:spacing w:line="500" w:lineRule="exact"/>
              <w:rPr>
                <w:rFonts w:hint="eastAsia" w:ascii="宋体" w:hAnsi="宋体"/>
                <w:bCs/>
                <w:sz w:val="24"/>
              </w:rPr>
            </w:pPr>
            <w:r>
              <w:rPr>
                <w:rFonts w:hint="eastAsia" w:ascii="宋体" w:hAnsi="宋体"/>
                <w:sz w:val="24"/>
              </w:rPr>
              <w:t>投标文件接收时间：自投标截止时间前30分钟至投标截止时间止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866" w:type="dxa"/>
            <w:noWrap w:val="0"/>
            <w:vAlign w:val="center"/>
          </w:tcPr>
          <w:p>
            <w:pPr>
              <w:spacing w:line="500" w:lineRule="exact"/>
              <w:jc w:val="center"/>
              <w:rPr>
                <w:rFonts w:hint="eastAsia" w:ascii="宋体" w:hAnsi="宋体"/>
                <w:sz w:val="24"/>
              </w:rPr>
            </w:pPr>
            <w:r>
              <w:rPr>
                <w:rFonts w:hint="eastAsia" w:ascii="宋体" w:hAnsi="宋体"/>
                <w:sz w:val="24"/>
              </w:rPr>
              <w:t>16</w:t>
            </w:r>
          </w:p>
        </w:tc>
        <w:tc>
          <w:tcPr>
            <w:tcW w:w="2389" w:type="dxa"/>
            <w:noWrap w:val="0"/>
            <w:vAlign w:val="center"/>
          </w:tcPr>
          <w:p>
            <w:pPr>
              <w:spacing w:line="500" w:lineRule="exact"/>
              <w:jc w:val="center"/>
              <w:rPr>
                <w:rFonts w:hint="eastAsia" w:ascii="宋体" w:hAnsi="宋体"/>
                <w:bCs/>
                <w:sz w:val="24"/>
              </w:rPr>
            </w:pPr>
            <w:r>
              <w:rPr>
                <w:rFonts w:hint="eastAsia" w:ascii="宋体" w:hAnsi="宋体"/>
                <w:sz w:val="24"/>
              </w:rPr>
              <w:t>开标时间及地点</w:t>
            </w:r>
          </w:p>
        </w:tc>
        <w:tc>
          <w:tcPr>
            <w:tcW w:w="6090" w:type="dxa"/>
            <w:noWrap w:val="0"/>
            <w:vAlign w:val="center"/>
          </w:tcPr>
          <w:p>
            <w:pPr>
              <w:spacing w:line="500" w:lineRule="exact"/>
              <w:rPr>
                <w:rFonts w:hint="default" w:ascii="宋体" w:hAnsi="宋体" w:eastAsia="宋体"/>
                <w:bCs/>
                <w:sz w:val="24"/>
                <w:highlight w:val="none"/>
                <w:u w:val="single"/>
                <w:lang w:val="en-US" w:eastAsia="zh-CN"/>
              </w:rPr>
            </w:pPr>
            <w:r>
              <w:rPr>
                <w:rFonts w:hint="eastAsia" w:ascii="宋体" w:hAnsi="宋体"/>
                <w:sz w:val="24"/>
                <w:highlight w:val="none"/>
              </w:rPr>
              <w:t>开标时间：</w:t>
            </w:r>
            <w:r>
              <w:rPr>
                <w:rFonts w:hint="eastAsia" w:ascii="宋体" w:hAnsi="宋体"/>
                <w:bCs/>
                <w:color w:val="000000"/>
                <w:sz w:val="24"/>
                <w:szCs w:val="18"/>
                <w:highlight w:val="none"/>
                <w:lang w:val="en-US" w:eastAsia="zh-CN"/>
              </w:rPr>
              <w:t>2022</w:t>
            </w:r>
            <w:r>
              <w:rPr>
                <w:rFonts w:hint="eastAsia" w:ascii="宋体" w:hAnsi="宋体"/>
                <w:bCs/>
                <w:color w:val="000000"/>
                <w:sz w:val="24"/>
                <w:szCs w:val="18"/>
                <w:highlight w:val="none"/>
              </w:rPr>
              <w:t>年</w:t>
            </w:r>
            <w:r>
              <w:rPr>
                <w:rFonts w:hint="eastAsia" w:ascii="宋体" w:hAnsi="宋体"/>
                <w:bCs/>
                <w:color w:val="000000"/>
                <w:sz w:val="24"/>
                <w:szCs w:val="18"/>
                <w:highlight w:val="none"/>
                <w:lang w:val="en-US" w:eastAsia="zh-CN"/>
              </w:rPr>
              <w:t>8</w:t>
            </w:r>
            <w:r>
              <w:rPr>
                <w:rFonts w:hint="eastAsia" w:ascii="宋体" w:hAnsi="宋体"/>
                <w:bCs/>
                <w:color w:val="000000"/>
                <w:sz w:val="24"/>
                <w:szCs w:val="18"/>
                <w:highlight w:val="none"/>
              </w:rPr>
              <w:t>月</w:t>
            </w:r>
            <w:r>
              <w:rPr>
                <w:rFonts w:hint="eastAsia" w:ascii="宋体" w:hAnsi="宋体"/>
                <w:bCs/>
                <w:color w:val="000000"/>
                <w:sz w:val="24"/>
                <w:szCs w:val="18"/>
                <w:highlight w:val="none"/>
                <w:lang w:val="en-US" w:eastAsia="zh-CN"/>
              </w:rPr>
              <w:t>11</w:t>
            </w:r>
            <w:r>
              <w:rPr>
                <w:rFonts w:hint="eastAsia" w:ascii="宋体" w:hAnsi="宋体"/>
                <w:bCs/>
                <w:color w:val="000000"/>
                <w:sz w:val="24"/>
                <w:szCs w:val="18"/>
                <w:highlight w:val="none"/>
              </w:rPr>
              <w:t>日</w:t>
            </w:r>
            <w:r>
              <w:rPr>
                <w:rFonts w:hint="eastAsia" w:ascii="宋体" w:hAnsi="宋体"/>
                <w:bCs/>
                <w:color w:val="000000"/>
                <w:sz w:val="24"/>
                <w:szCs w:val="18"/>
                <w:highlight w:val="none"/>
                <w:lang w:val="en-US" w:eastAsia="zh-CN"/>
              </w:rPr>
              <w:t>9:00</w:t>
            </w:r>
            <w:r>
              <w:rPr>
                <w:rFonts w:hint="eastAsia" w:ascii="宋体" w:hAnsi="宋体"/>
                <w:sz w:val="24"/>
                <w:highlight w:val="none"/>
              </w:rPr>
              <w:t xml:space="preserve"> </w:t>
            </w:r>
            <w:r>
              <w:rPr>
                <w:rFonts w:hint="eastAsia" w:ascii="宋体" w:hAnsi="宋体"/>
                <w:sz w:val="24"/>
                <w:highlight w:val="none"/>
                <w:lang w:val="en-US" w:eastAsia="zh-CN"/>
              </w:rPr>
              <w:t xml:space="preserve">  </w:t>
            </w:r>
          </w:p>
          <w:p>
            <w:pPr>
              <w:spacing w:line="500" w:lineRule="exact"/>
              <w:rPr>
                <w:rFonts w:ascii="宋体" w:hAnsi="宋体"/>
                <w:sz w:val="24"/>
              </w:rPr>
            </w:pPr>
            <w:r>
              <w:rPr>
                <w:rFonts w:hint="eastAsia" w:ascii="宋体" w:hAnsi="宋体"/>
                <w:sz w:val="24"/>
                <w:highlight w:val="none"/>
              </w:rPr>
              <w:t>开标地点：</w:t>
            </w:r>
            <w:r>
              <w:rPr>
                <w:rFonts w:hint="eastAsia" w:ascii="宋体" w:hAnsi="宋体"/>
                <w:sz w:val="24"/>
                <w:highlight w:val="none"/>
                <w:lang w:eastAsia="zh-CN"/>
              </w:rPr>
              <w:t>国翠公馆会议室</w:t>
            </w:r>
            <w:r>
              <w:rPr>
                <w:rFonts w:hint="eastAsia" w:ascii="宋体" w:hAnsi="宋体"/>
                <w:bCs/>
                <w:sz w:val="24"/>
                <w:szCs w:val="18"/>
                <w:highlight w:val="none"/>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jc w:val="center"/>
        </w:trPr>
        <w:tc>
          <w:tcPr>
            <w:tcW w:w="866" w:type="dxa"/>
            <w:noWrap w:val="0"/>
            <w:vAlign w:val="center"/>
          </w:tcPr>
          <w:p>
            <w:pPr>
              <w:spacing w:line="500" w:lineRule="exact"/>
              <w:jc w:val="center"/>
              <w:rPr>
                <w:rFonts w:hint="eastAsia" w:ascii="宋体" w:hAnsi="宋体"/>
                <w:sz w:val="24"/>
              </w:rPr>
            </w:pPr>
            <w:r>
              <w:rPr>
                <w:rFonts w:hint="eastAsia" w:ascii="宋体" w:hAnsi="宋体"/>
                <w:sz w:val="24"/>
              </w:rPr>
              <w:t>17</w:t>
            </w:r>
          </w:p>
        </w:tc>
        <w:tc>
          <w:tcPr>
            <w:tcW w:w="2389" w:type="dxa"/>
            <w:noWrap w:val="0"/>
            <w:vAlign w:val="center"/>
          </w:tcPr>
          <w:p>
            <w:pPr>
              <w:spacing w:line="500" w:lineRule="exact"/>
              <w:jc w:val="center"/>
              <w:rPr>
                <w:rFonts w:hint="eastAsia" w:ascii="宋体" w:hAnsi="宋体"/>
                <w:sz w:val="24"/>
              </w:rPr>
            </w:pPr>
            <w:r>
              <w:rPr>
                <w:rFonts w:hint="eastAsia" w:ascii="宋体" w:hAnsi="宋体"/>
                <w:sz w:val="24"/>
              </w:rPr>
              <w:t>评标办法</w:t>
            </w:r>
          </w:p>
        </w:tc>
        <w:tc>
          <w:tcPr>
            <w:tcW w:w="6090" w:type="dxa"/>
            <w:noWrap w:val="0"/>
            <w:vAlign w:val="center"/>
          </w:tcPr>
          <w:p>
            <w:pPr>
              <w:spacing w:line="500" w:lineRule="exact"/>
              <w:rPr>
                <w:rFonts w:hint="eastAsia" w:ascii="宋体" w:hAnsi="宋体"/>
                <w:sz w:val="24"/>
              </w:rPr>
            </w:pPr>
            <w:r>
              <w:rPr>
                <w:rFonts w:hint="eastAsia" w:ascii="宋体" w:hAnsi="宋体"/>
                <w:sz w:val="24"/>
              </w:rPr>
              <w:t>综合评分法，</w:t>
            </w:r>
            <w:r>
              <w:rPr>
                <w:rFonts w:hint="eastAsia" w:ascii="宋体" w:hAnsi="宋体"/>
                <w:bCs/>
                <w:sz w:val="24"/>
              </w:rPr>
              <w:t>详见</w:t>
            </w:r>
            <w:r>
              <w:rPr>
                <w:rFonts w:hint="eastAsia" w:ascii="宋体" w:hAnsi="宋体"/>
                <w:sz w:val="24"/>
              </w:rPr>
              <w:t>招标文件第一部分</w:t>
            </w:r>
            <w:r>
              <w:rPr>
                <w:rFonts w:hint="eastAsia" w:ascii="宋体" w:hAnsi="宋体"/>
                <w:bCs/>
                <w:sz w:val="24"/>
              </w:rPr>
              <w:t>第四章评标办法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866" w:type="dxa"/>
            <w:noWrap w:val="0"/>
            <w:vAlign w:val="center"/>
          </w:tcPr>
          <w:p>
            <w:pPr>
              <w:spacing w:line="500" w:lineRule="exact"/>
              <w:jc w:val="center"/>
              <w:rPr>
                <w:rFonts w:ascii="宋体" w:hAnsi="宋体"/>
                <w:sz w:val="24"/>
              </w:rPr>
            </w:pPr>
            <w:r>
              <w:rPr>
                <w:rFonts w:hint="eastAsia" w:ascii="宋体" w:hAnsi="宋体"/>
                <w:sz w:val="24"/>
              </w:rPr>
              <w:t>18</w:t>
            </w:r>
          </w:p>
        </w:tc>
        <w:tc>
          <w:tcPr>
            <w:tcW w:w="2389" w:type="dxa"/>
            <w:noWrap w:val="0"/>
            <w:vAlign w:val="center"/>
          </w:tcPr>
          <w:p>
            <w:pPr>
              <w:spacing w:line="500" w:lineRule="exact"/>
              <w:jc w:val="center"/>
              <w:rPr>
                <w:rFonts w:hint="eastAsia" w:ascii="宋体" w:hAnsi="宋体"/>
                <w:sz w:val="24"/>
              </w:rPr>
            </w:pPr>
            <w:r>
              <w:rPr>
                <w:rFonts w:hint="eastAsia" w:ascii="宋体" w:hAnsi="宋体"/>
                <w:sz w:val="24"/>
              </w:rPr>
              <w:t>本项目提供除电子版招标文件以外的其他资料</w:t>
            </w:r>
          </w:p>
        </w:tc>
        <w:tc>
          <w:tcPr>
            <w:tcW w:w="6090" w:type="dxa"/>
            <w:noWrap w:val="0"/>
            <w:vAlign w:val="center"/>
          </w:tcPr>
          <w:p>
            <w:pPr>
              <w:spacing w:line="500" w:lineRule="exact"/>
              <w:rPr>
                <w:rFonts w:hint="eastAsia" w:ascii="宋体" w:hAnsi="宋体"/>
                <w:b/>
                <w:sz w:val="24"/>
                <w:u w:val="single"/>
              </w:rPr>
            </w:pPr>
            <w:r>
              <w:rPr>
                <w:rFonts w:hint="eastAsia" w:ascii="宋体" w:hAnsi="宋体"/>
                <w:b/>
                <w:sz w:val="24"/>
              </w:rPr>
              <w:sym w:font="Wingdings" w:char="F0FE"/>
            </w:r>
            <w:r>
              <w:rPr>
                <w:rFonts w:hint="eastAsia" w:ascii="宋体" w:hAnsi="宋体"/>
                <w:b/>
                <w:sz w:val="24"/>
              </w:rPr>
              <w:t xml:space="preserve">无   □图纸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866" w:type="dxa"/>
            <w:noWrap w:val="0"/>
            <w:vAlign w:val="center"/>
          </w:tcPr>
          <w:p>
            <w:pPr>
              <w:spacing w:line="500" w:lineRule="exact"/>
              <w:jc w:val="center"/>
              <w:rPr>
                <w:rFonts w:ascii="宋体" w:hAnsi="宋体"/>
                <w:sz w:val="24"/>
              </w:rPr>
            </w:pPr>
            <w:r>
              <w:rPr>
                <w:rFonts w:hint="eastAsia" w:ascii="宋体" w:hAnsi="宋体"/>
                <w:sz w:val="24"/>
              </w:rPr>
              <w:t>19</w:t>
            </w:r>
          </w:p>
        </w:tc>
        <w:tc>
          <w:tcPr>
            <w:tcW w:w="2389" w:type="dxa"/>
            <w:noWrap w:val="0"/>
            <w:vAlign w:val="center"/>
          </w:tcPr>
          <w:p>
            <w:pPr>
              <w:spacing w:line="500" w:lineRule="exact"/>
              <w:jc w:val="center"/>
              <w:rPr>
                <w:rFonts w:hint="eastAsia" w:ascii="宋体" w:hAnsi="宋体"/>
                <w:sz w:val="24"/>
              </w:rPr>
            </w:pPr>
            <w:r>
              <w:rPr>
                <w:rFonts w:hint="eastAsia" w:ascii="宋体" w:hAnsi="宋体"/>
                <w:sz w:val="24"/>
              </w:rPr>
              <w:t>其他</w:t>
            </w:r>
          </w:p>
        </w:tc>
        <w:tc>
          <w:tcPr>
            <w:tcW w:w="6090" w:type="dxa"/>
            <w:noWrap w:val="0"/>
            <w:vAlign w:val="center"/>
          </w:tcPr>
          <w:p>
            <w:pPr>
              <w:spacing w:line="500" w:lineRule="exact"/>
              <w:rPr>
                <w:rFonts w:ascii="宋体" w:hAnsi="宋体"/>
                <w:bCs/>
                <w:sz w:val="24"/>
                <w:szCs w:val="24"/>
              </w:rPr>
            </w:pPr>
            <w:r>
              <w:rPr>
                <w:rFonts w:hint="eastAsia" w:ascii="宋体" w:hAnsi="宋体"/>
                <w:bCs/>
                <w:sz w:val="24"/>
                <w:szCs w:val="24"/>
              </w:rPr>
              <w:t>1、无论何种原因，即使投标人开标时携带了证书材料的原件，但在投标文件中未提供与之内容完全一致的复印件或影印件的，评标委员会可以视同其未提供。</w:t>
            </w:r>
          </w:p>
          <w:p>
            <w:pPr>
              <w:spacing w:line="500" w:lineRule="exact"/>
              <w:rPr>
                <w:rFonts w:hint="eastAsia" w:ascii="宋体" w:hAnsi="宋体"/>
                <w:bCs/>
                <w:sz w:val="24"/>
                <w:szCs w:val="24"/>
              </w:rPr>
            </w:pPr>
            <w:r>
              <w:rPr>
                <w:rFonts w:hint="eastAsia" w:ascii="宋体" w:hAnsi="宋体"/>
                <w:bCs/>
                <w:sz w:val="24"/>
                <w:szCs w:val="24"/>
              </w:rPr>
              <w:t>2、所提供的业绩合同中不能明确反映出招标文件所要求的内容的（如合同总金额、面积等），应另附业主证明材料予以明确说明，否则评标委员会可不予认可。</w:t>
            </w:r>
          </w:p>
          <w:p>
            <w:pPr>
              <w:spacing w:line="500" w:lineRule="exact"/>
              <w:rPr>
                <w:rFonts w:hint="eastAsia" w:ascii="宋体" w:hAnsi="宋体"/>
                <w:b/>
                <w:bCs/>
                <w:sz w:val="24"/>
                <w:szCs w:val="24"/>
              </w:rPr>
            </w:pPr>
            <w:r>
              <w:rPr>
                <w:rFonts w:hint="eastAsia" w:ascii="宋体" w:hAnsi="宋体"/>
                <w:bCs/>
                <w:sz w:val="24"/>
                <w:szCs w:val="24"/>
              </w:rPr>
              <w:t>3、本项目将对排名第一的中标候选供应商经评标委员会评审认可的投标人业绩（如项目名称、合同总金额等）进行公示。如涉嫌造假，将取消中标资格。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58" w:hRule="atLeast"/>
          <w:jc w:val="center"/>
        </w:trPr>
        <w:tc>
          <w:tcPr>
            <w:tcW w:w="866" w:type="dxa"/>
            <w:noWrap w:val="0"/>
            <w:vAlign w:val="center"/>
          </w:tcPr>
          <w:p>
            <w:pPr>
              <w:spacing w:line="500" w:lineRule="exact"/>
              <w:jc w:val="center"/>
              <w:rPr>
                <w:rFonts w:hint="eastAsia" w:ascii="宋体" w:hAnsi="宋体"/>
                <w:sz w:val="24"/>
              </w:rPr>
            </w:pPr>
            <w:r>
              <w:rPr>
                <w:rFonts w:hint="eastAsia" w:ascii="宋体" w:hAnsi="宋体"/>
                <w:sz w:val="24"/>
              </w:rPr>
              <w:t>22</w:t>
            </w:r>
          </w:p>
        </w:tc>
        <w:tc>
          <w:tcPr>
            <w:tcW w:w="2389" w:type="dxa"/>
            <w:noWrap w:val="0"/>
            <w:vAlign w:val="center"/>
          </w:tcPr>
          <w:p>
            <w:pPr>
              <w:spacing w:line="500" w:lineRule="exact"/>
              <w:jc w:val="center"/>
              <w:rPr>
                <w:rFonts w:hint="eastAsia" w:ascii="宋体" w:hAnsi="宋体"/>
                <w:sz w:val="24"/>
              </w:rPr>
            </w:pPr>
            <w:r>
              <w:rPr>
                <w:rFonts w:hint="eastAsia" w:ascii="宋体" w:hAnsi="宋体"/>
                <w:sz w:val="24"/>
              </w:rPr>
              <w:t>项目概算</w:t>
            </w:r>
          </w:p>
        </w:tc>
        <w:tc>
          <w:tcPr>
            <w:tcW w:w="6090" w:type="dxa"/>
            <w:noWrap w:val="0"/>
            <w:vAlign w:val="center"/>
          </w:tcPr>
          <w:p>
            <w:pPr>
              <w:spacing w:line="500" w:lineRule="exact"/>
              <w:rPr>
                <w:rFonts w:hint="eastAsia" w:ascii="宋体" w:hAnsi="宋体"/>
                <w:bCs/>
                <w:sz w:val="24"/>
                <w:szCs w:val="24"/>
              </w:rPr>
            </w:pPr>
            <w:r>
              <w:rPr>
                <w:rFonts w:hint="eastAsia" w:ascii="宋体" w:hAnsi="宋体"/>
                <w:bCs/>
                <w:sz w:val="24"/>
                <w:szCs w:val="24"/>
              </w:rPr>
              <w:t>本项目设项目概算（即为最高投标限价）为</w:t>
            </w:r>
            <w:r>
              <w:rPr>
                <w:rFonts w:hint="eastAsia" w:ascii="宋体" w:hAnsi="宋体"/>
                <w:b w:val="0"/>
                <w:bCs/>
                <w:sz w:val="24"/>
                <w:szCs w:val="24"/>
                <w:highlight w:val="none"/>
              </w:rPr>
              <w:t>人民币</w:t>
            </w:r>
            <w:r>
              <w:rPr>
                <w:rFonts w:hint="eastAsia" w:ascii="宋体" w:hAnsi="宋体"/>
                <w:b w:val="0"/>
                <w:bCs/>
                <w:sz w:val="24"/>
                <w:szCs w:val="24"/>
                <w:highlight w:val="none"/>
                <w:lang w:val="en-US" w:eastAsia="zh-CN"/>
              </w:rPr>
              <w:t>220</w:t>
            </w:r>
            <w:r>
              <w:rPr>
                <w:rFonts w:hint="eastAsia" w:ascii="宋体" w:hAnsi="宋体"/>
                <w:b w:val="0"/>
                <w:bCs/>
                <w:sz w:val="24"/>
                <w:szCs w:val="24"/>
                <w:highlight w:val="none"/>
              </w:rPr>
              <w:t>万元</w:t>
            </w:r>
            <w:r>
              <w:rPr>
                <w:rFonts w:hint="eastAsia" w:ascii="宋体" w:hAnsi="宋体"/>
                <w:b w:val="0"/>
                <w:bCs/>
                <w:sz w:val="24"/>
                <w:szCs w:val="24"/>
                <w:highlight w:val="none"/>
                <w:lang w:val="en-US" w:eastAsia="zh-CN"/>
              </w:rPr>
              <w:t>/年</w:t>
            </w:r>
            <w:r>
              <w:rPr>
                <w:rFonts w:hint="eastAsia" w:ascii="宋体" w:hAnsi="宋体"/>
                <w:b w:val="0"/>
                <w:bCs/>
                <w:sz w:val="24"/>
                <w:szCs w:val="24"/>
                <w:highlight w:val="none"/>
              </w:rPr>
              <w:t>。超出此限价的投标将被视为无效投标，其</w:t>
            </w:r>
            <w:r>
              <w:rPr>
                <w:rFonts w:hint="eastAsia" w:ascii="宋体" w:hAnsi="宋体"/>
                <w:bCs/>
                <w:sz w:val="24"/>
                <w:szCs w:val="24"/>
              </w:rPr>
              <w:t>投标文件不进入评审程序。</w:t>
            </w:r>
          </w:p>
        </w:tc>
      </w:tr>
    </w:tbl>
    <w:p>
      <w:pPr>
        <w:pStyle w:val="4"/>
        <w:spacing w:line="500" w:lineRule="exact"/>
        <w:ind w:firstLine="0"/>
        <w:rPr>
          <w:rFonts w:ascii="宋体" w:hAnsi="宋体" w:eastAsia="宋体"/>
        </w:rPr>
        <w:sectPr>
          <w:pgSz w:w="11907" w:h="16840"/>
          <w:pgMar w:top="1440" w:right="1247" w:bottom="1440" w:left="1247" w:header="851" w:footer="992" w:gutter="0"/>
          <w:cols w:space="720" w:num="1"/>
          <w:docGrid w:linePitch="303" w:charSpace="0"/>
        </w:sectPr>
      </w:pPr>
      <w:bookmarkStart w:id="7" w:name="_Hlt519045778"/>
      <w:bookmarkEnd w:id="7"/>
      <w:bookmarkStart w:id="8" w:name="_Hlt509650351"/>
      <w:bookmarkEnd w:id="8"/>
      <w:bookmarkStart w:id="9" w:name="_Hlt509650027"/>
      <w:bookmarkEnd w:id="9"/>
      <w:bookmarkStart w:id="10" w:name="_Hlt516969057"/>
      <w:bookmarkEnd w:id="10"/>
      <w:bookmarkStart w:id="11" w:name="_Toc220232390"/>
    </w:p>
    <w:p>
      <w:pPr>
        <w:pStyle w:val="4"/>
        <w:spacing w:line="500" w:lineRule="exact"/>
        <w:ind w:firstLine="0"/>
        <w:rPr>
          <w:rFonts w:hint="eastAsia" w:ascii="宋体" w:hAnsi="宋体" w:eastAsia="宋体"/>
        </w:rPr>
      </w:pPr>
      <w:bookmarkStart w:id="12" w:name="_Toc504073349"/>
      <w:r>
        <w:rPr>
          <w:rFonts w:hint="eastAsia" w:ascii="宋体" w:hAnsi="宋体" w:eastAsia="宋体"/>
        </w:rPr>
        <w:t xml:space="preserve">第三章 </w:t>
      </w:r>
      <w:bookmarkEnd w:id="11"/>
      <w:r>
        <w:rPr>
          <w:rFonts w:hint="eastAsia" w:ascii="宋体" w:hAnsi="宋体" w:eastAsia="宋体"/>
          <w:szCs w:val="36"/>
        </w:rPr>
        <w:t>招标需求</w:t>
      </w:r>
      <w:bookmarkEnd w:id="12"/>
    </w:p>
    <w:p>
      <w:pPr>
        <w:spacing w:line="360" w:lineRule="auto"/>
        <w:ind w:firstLine="480" w:firstLineChars="200"/>
        <w:rPr>
          <w:rFonts w:hint="eastAsia" w:ascii="宋体" w:hAnsi="宋体" w:cs="宋体"/>
          <w:b/>
          <w:sz w:val="24"/>
          <w:szCs w:val="24"/>
        </w:rPr>
      </w:pPr>
      <w:bookmarkStart w:id="13" w:name="_Hlt509716920"/>
      <w:bookmarkEnd w:id="13"/>
      <w:r>
        <w:rPr>
          <w:rFonts w:hint="eastAsia" w:ascii="宋体" w:hAnsi="宋体"/>
          <w:sz w:val="24"/>
          <w:szCs w:val="28"/>
        </w:rPr>
        <w:t>前注：如对本招标文件有任何疑问或澄清要求，请按本招标文件“投标人须知前附表”中的约定方式联系   有限公司，或接受答疑截止时间前联系招标人。否则视同理解和接受。</w:t>
      </w:r>
      <w:r>
        <w:rPr>
          <w:rFonts w:hint="eastAsia" w:ascii="宋体" w:hAnsi="宋体"/>
          <w:sz w:val="24"/>
          <w:szCs w:val="28"/>
        </w:rPr>
        <w:cr/>
      </w:r>
      <w:r>
        <w:rPr>
          <w:rFonts w:hint="eastAsia" w:ascii="宋体" w:hAnsi="宋体"/>
          <w:sz w:val="24"/>
          <w:szCs w:val="28"/>
        </w:rPr>
        <w:t xml:space="preserve">    </w:t>
      </w:r>
      <w:r>
        <w:rPr>
          <w:rFonts w:hint="eastAsia" w:ascii="宋体" w:hAnsi="宋体" w:cs="宋体"/>
          <w:b/>
          <w:sz w:val="24"/>
          <w:szCs w:val="24"/>
        </w:rPr>
        <w:t>一、项目概况</w:t>
      </w:r>
    </w:p>
    <w:p>
      <w:pPr>
        <w:autoSpaceDE w:val="0"/>
        <w:autoSpaceDN w:val="0"/>
        <w:adjustRightInd w:val="0"/>
        <w:spacing w:line="360" w:lineRule="auto"/>
        <w:ind w:firstLine="439" w:firstLineChars="183"/>
        <w:jc w:val="left"/>
        <w:rPr>
          <w:rFonts w:hint="eastAsia" w:ascii="宋体" w:hAnsi="宋体"/>
          <w:bCs/>
          <w:sz w:val="24"/>
          <w:szCs w:val="18"/>
        </w:rPr>
      </w:pPr>
      <w:r>
        <w:rPr>
          <w:rFonts w:hint="eastAsia" w:ascii="宋体" w:hAnsi="宋体"/>
          <w:bCs/>
          <w:sz w:val="24"/>
          <w:szCs w:val="18"/>
        </w:rPr>
        <w:t>“</w:t>
      </w:r>
      <w:r>
        <w:rPr>
          <w:rFonts w:hint="eastAsia" w:ascii="宋体" w:hAnsi="宋体"/>
          <w:sz w:val="24"/>
          <w:szCs w:val="24"/>
        </w:rPr>
        <w:t>桐城玉雕文化产业园</w:t>
      </w:r>
      <w:r>
        <w:rPr>
          <w:rFonts w:hint="eastAsia" w:ascii="宋体" w:hAnsi="宋体"/>
          <w:bCs/>
          <w:sz w:val="24"/>
          <w:szCs w:val="18"/>
        </w:rPr>
        <w:t>”</w:t>
      </w:r>
      <w:r>
        <w:rPr>
          <w:rFonts w:hint="eastAsia" w:ascii="宋体" w:hAnsi="宋体"/>
          <w:bCs/>
          <w:sz w:val="24"/>
          <w:szCs w:val="24"/>
        </w:rPr>
        <w:t>位于</w:t>
      </w:r>
      <w:r>
        <w:rPr>
          <w:rFonts w:hint="eastAsia" w:ascii="宋体" w:hAnsi="宋体"/>
          <w:bCs/>
          <w:sz w:val="24"/>
          <w:szCs w:val="18"/>
        </w:rPr>
        <w:t>桐城市经开区</w:t>
      </w:r>
      <w:r>
        <w:rPr>
          <w:rFonts w:hint="eastAsia" w:ascii="宋体" w:hAnsi="宋体"/>
          <w:bCs/>
          <w:sz w:val="24"/>
          <w:szCs w:val="18"/>
          <w:lang w:val="en-US" w:eastAsia="zh-CN"/>
        </w:rPr>
        <w:t>龙池路</w:t>
      </w:r>
      <w:r>
        <w:rPr>
          <w:rFonts w:hint="eastAsia" w:ascii="宋体" w:hAnsi="宋体"/>
          <w:bCs/>
          <w:sz w:val="24"/>
          <w:szCs w:val="18"/>
        </w:rPr>
        <w:t>与和平东路交叉口。本项目规划设计的物业类型为：住宅物业；</w:t>
      </w:r>
      <w:r>
        <w:rPr>
          <w:rFonts w:hint="eastAsia" w:ascii="宋体" w:hAnsi="宋体"/>
          <w:bCs/>
          <w:sz w:val="24"/>
          <w:szCs w:val="18"/>
          <w:lang w:val="en-US" w:eastAsia="zh-CN"/>
        </w:rPr>
        <w:t>一期</w:t>
      </w:r>
      <w:r>
        <w:rPr>
          <w:rFonts w:hint="eastAsia" w:ascii="宋体" w:hAnsi="宋体"/>
          <w:bCs/>
          <w:sz w:val="24"/>
          <w:szCs w:val="18"/>
        </w:rPr>
        <w:t>规划用地面积为</w:t>
      </w:r>
      <w:r>
        <w:rPr>
          <w:rFonts w:hint="eastAsia" w:ascii="宋体" w:hAnsi="宋体"/>
          <w:sz w:val="24"/>
          <w:szCs w:val="24"/>
          <w:lang w:val="en-US" w:eastAsia="zh-CN"/>
        </w:rPr>
        <w:t>46663.00</w:t>
      </w:r>
      <w:r>
        <w:rPr>
          <w:rFonts w:hint="eastAsia" w:ascii="宋体" w:hAnsi="宋体"/>
          <w:sz w:val="24"/>
          <w:szCs w:val="24"/>
        </w:rPr>
        <w:t>㎡</w:t>
      </w:r>
      <w:r>
        <w:rPr>
          <w:rFonts w:hint="eastAsia" w:ascii="宋体" w:hAnsi="宋体"/>
          <w:bCs/>
          <w:sz w:val="24"/>
          <w:szCs w:val="18"/>
        </w:rPr>
        <w:t>，总建筑面积为</w:t>
      </w:r>
      <w:r>
        <w:rPr>
          <w:rFonts w:hint="eastAsia" w:ascii="宋体" w:hAnsi="宋体"/>
          <w:bCs/>
          <w:sz w:val="24"/>
          <w:szCs w:val="18"/>
          <w:lang w:val="en-US" w:eastAsia="zh-CN"/>
        </w:rPr>
        <w:t>66361</w:t>
      </w:r>
      <w:r>
        <w:rPr>
          <w:rFonts w:hint="eastAsia" w:ascii="宋体" w:hAnsi="宋体"/>
          <w:bCs/>
          <w:sz w:val="24"/>
          <w:szCs w:val="18"/>
        </w:rPr>
        <w:t>.</w:t>
      </w:r>
      <w:r>
        <w:rPr>
          <w:rFonts w:hint="eastAsia" w:ascii="宋体" w:hAnsi="宋体"/>
          <w:bCs/>
          <w:sz w:val="24"/>
          <w:szCs w:val="18"/>
          <w:lang w:val="en-US" w:eastAsia="zh-CN"/>
        </w:rPr>
        <w:t>06</w:t>
      </w:r>
      <w:r>
        <w:rPr>
          <w:rFonts w:hint="eastAsia" w:ascii="宋体" w:hAnsi="宋体"/>
          <w:bCs/>
          <w:sz w:val="24"/>
          <w:szCs w:val="18"/>
        </w:rPr>
        <w:t>㎡</w:t>
      </w:r>
      <w:r>
        <w:rPr>
          <w:rFonts w:hint="eastAsia" w:ascii="宋体" w:hAnsi="宋体"/>
          <w:bCs/>
          <w:sz w:val="24"/>
          <w:szCs w:val="18"/>
          <w:lang w:eastAsia="zh-CN"/>
        </w:rPr>
        <w:t>，</w:t>
      </w:r>
      <w:r>
        <w:rPr>
          <w:rFonts w:hint="eastAsia" w:ascii="宋体" w:hAnsi="宋体"/>
          <w:bCs/>
          <w:sz w:val="24"/>
          <w:szCs w:val="18"/>
        </w:rPr>
        <w:t>容积率为1.</w:t>
      </w:r>
      <w:r>
        <w:rPr>
          <w:rFonts w:hint="eastAsia" w:ascii="宋体" w:hAnsi="宋体"/>
          <w:bCs/>
          <w:sz w:val="24"/>
          <w:szCs w:val="18"/>
          <w:lang w:val="en-US" w:eastAsia="zh-CN"/>
        </w:rPr>
        <w:t>5</w:t>
      </w:r>
      <w:r>
        <w:rPr>
          <w:rFonts w:hint="eastAsia" w:ascii="宋体" w:hAnsi="宋体"/>
          <w:bCs/>
          <w:sz w:val="24"/>
          <w:szCs w:val="18"/>
        </w:rPr>
        <w:t>， 绿化率</w:t>
      </w:r>
      <w:r>
        <w:rPr>
          <w:rFonts w:hint="eastAsia" w:ascii="宋体" w:hAnsi="宋体"/>
          <w:bCs/>
          <w:sz w:val="24"/>
          <w:szCs w:val="18"/>
          <w:lang w:val="en-US" w:eastAsia="zh-CN"/>
        </w:rPr>
        <w:t>2</w:t>
      </w:r>
      <w:r>
        <w:rPr>
          <w:rFonts w:hint="eastAsia" w:ascii="宋体" w:hAnsi="宋体"/>
          <w:bCs/>
          <w:sz w:val="24"/>
          <w:szCs w:val="18"/>
        </w:rPr>
        <w:t>0.0</w:t>
      </w:r>
      <w:r>
        <w:rPr>
          <w:rFonts w:hint="eastAsia" w:ascii="宋体" w:hAnsi="宋体"/>
          <w:bCs/>
          <w:sz w:val="24"/>
          <w:szCs w:val="18"/>
          <w:lang w:val="en-US" w:eastAsia="zh-CN"/>
        </w:rPr>
        <w:t>0</w:t>
      </w:r>
      <w:r>
        <w:rPr>
          <w:rFonts w:hint="eastAsia" w:ascii="宋体" w:hAnsi="宋体"/>
          <w:bCs/>
          <w:sz w:val="24"/>
          <w:szCs w:val="18"/>
        </w:rPr>
        <w:t>%</w:t>
      </w:r>
      <w:r>
        <w:rPr>
          <w:rFonts w:hint="eastAsia" w:ascii="宋体" w:hAnsi="宋体"/>
          <w:bCs/>
          <w:sz w:val="24"/>
          <w:szCs w:val="18"/>
          <w:lang w:eastAsia="zh-CN"/>
        </w:rPr>
        <w:t>；</w:t>
      </w:r>
      <w:r>
        <w:rPr>
          <w:rFonts w:hint="eastAsia" w:ascii="宋体" w:hAnsi="宋体"/>
          <w:bCs/>
          <w:sz w:val="24"/>
          <w:szCs w:val="18"/>
          <w:lang w:val="en-US" w:eastAsia="zh-CN"/>
        </w:rPr>
        <w:t>二期</w:t>
      </w:r>
      <w:r>
        <w:rPr>
          <w:rFonts w:hint="eastAsia" w:ascii="宋体" w:hAnsi="宋体"/>
          <w:bCs/>
          <w:sz w:val="24"/>
          <w:szCs w:val="18"/>
        </w:rPr>
        <w:t>规划用地面积为</w:t>
      </w:r>
      <w:r>
        <w:rPr>
          <w:rFonts w:hint="eastAsia" w:ascii="宋体" w:hAnsi="宋体"/>
          <w:sz w:val="24"/>
          <w:szCs w:val="24"/>
          <w:lang w:val="en-US" w:eastAsia="zh-CN"/>
        </w:rPr>
        <w:t>49495.80</w:t>
      </w:r>
      <w:r>
        <w:rPr>
          <w:rFonts w:hint="eastAsia" w:ascii="宋体" w:hAnsi="宋体"/>
          <w:sz w:val="24"/>
          <w:szCs w:val="24"/>
        </w:rPr>
        <w:t>㎡</w:t>
      </w:r>
      <w:r>
        <w:rPr>
          <w:rFonts w:hint="eastAsia" w:ascii="宋体" w:hAnsi="宋体"/>
          <w:bCs/>
          <w:sz w:val="24"/>
          <w:szCs w:val="18"/>
        </w:rPr>
        <w:t>，总建筑面积为</w:t>
      </w:r>
      <w:r>
        <w:rPr>
          <w:rFonts w:hint="eastAsia" w:ascii="宋体" w:hAnsi="宋体"/>
          <w:bCs/>
          <w:sz w:val="24"/>
          <w:szCs w:val="18"/>
          <w:lang w:val="en-US" w:eastAsia="zh-CN"/>
        </w:rPr>
        <w:t>79715</w:t>
      </w:r>
      <w:r>
        <w:rPr>
          <w:rFonts w:hint="eastAsia" w:ascii="宋体" w:hAnsi="宋体"/>
          <w:bCs/>
          <w:sz w:val="24"/>
          <w:szCs w:val="18"/>
        </w:rPr>
        <w:t>.</w:t>
      </w:r>
      <w:r>
        <w:rPr>
          <w:rFonts w:hint="eastAsia" w:ascii="宋体" w:hAnsi="宋体"/>
          <w:bCs/>
          <w:sz w:val="24"/>
          <w:szCs w:val="18"/>
          <w:lang w:val="en-US" w:eastAsia="zh-CN"/>
        </w:rPr>
        <w:t>23</w:t>
      </w:r>
      <w:r>
        <w:rPr>
          <w:rFonts w:hint="eastAsia" w:ascii="宋体" w:hAnsi="宋体"/>
          <w:bCs/>
          <w:sz w:val="24"/>
          <w:szCs w:val="18"/>
        </w:rPr>
        <w:t>㎡</w:t>
      </w:r>
      <w:r>
        <w:rPr>
          <w:rFonts w:hint="eastAsia" w:ascii="宋体" w:hAnsi="宋体"/>
          <w:bCs/>
          <w:sz w:val="24"/>
          <w:szCs w:val="18"/>
          <w:lang w:eastAsia="zh-CN"/>
        </w:rPr>
        <w:t>，</w:t>
      </w:r>
      <w:r>
        <w:rPr>
          <w:rFonts w:hint="eastAsia" w:ascii="宋体" w:hAnsi="宋体"/>
          <w:bCs/>
          <w:sz w:val="24"/>
          <w:szCs w:val="18"/>
        </w:rPr>
        <w:t>容积率为1.</w:t>
      </w:r>
      <w:r>
        <w:rPr>
          <w:rFonts w:hint="eastAsia" w:ascii="宋体" w:hAnsi="宋体"/>
          <w:bCs/>
          <w:sz w:val="24"/>
          <w:szCs w:val="18"/>
          <w:lang w:val="en-US" w:eastAsia="zh-CN"/>
        </w:rPr>
        <w:t>65</w:t>
      </w:r>
      <w:r>
        <w:rPr>
          <w:rFonts w:hint="eastAsia" w:ascii="宋体" w:hAnsi="宋体"/>
          <w:bCs/>
          <w:sz w:val="24"/>
          <w:szCs w:val="18"/>
        </w:rPr>
        <w:t>， 绿化率</w:t>
      </w:r>
      <w:r>
        <w:rPr>
          <w:rFonts w:hint="eastAsia" w:ascii="宋体" w:hAnsi="宋体"/>
          <w:bCs/>
          <w:sz w:val="24"/>
          <w:szCs w:val="18"/>
          <w:lang w:val="en-US" w:eastAsia="zh-CN"/>
        </w:rPr>
        <w:t>2</w:t>
      </w:r>
      <w:r>
        <w:rPr>
          <w:rFonts w:hint="eastAsia" w:ascii="宋体" w:hAnsi="宋体"/>
          <w:bCs/>
          <w:sz w:val="24"/>
          <w:szCs w:val="18"/>
        </w:rPr>
        <w:t>0.0</w:t>
      </w:r>
      <w:r>
        <w:rPr>
          <w:rFonts w:hint="eastAsia" w:ascii="宋体" w:hAnsi="宋体"/>
          <w:bCs/>
          <w:sz w:val="24"/>
          <w:szCs w:val="18"/>
          <w:lang w:val="en-US" w:eastAsia="zh-CN"/>
        </w:rPr>
        <w:t>0</w:t>
      </w:r>
      <w:r>
        <w:rPr>
          <w:rFonts w:hint="eastAsia" w:ascii="宋体" w:hAnsi="宋体"/>
          <w:bCs/>
          <w:sz w:val="24"/>
          <w:szCs w:val="18"/>
        </w:rPr>
        <w:t xml:space="preserve">% </w:t>
      </w:r>
      <w:r>
        <w:rPr>
          <w:rFonts w:hint="eastAsia" w:ascii="宋体" w:hAnsi="宋体"/>
          <w:bCs/>
          <w:sz w:val="24"/>
          <w:szCs w:val="18"/>
          <w:lang w:eastAsia="zh-CN"/>
        </w:rPr>
        <w:t>；</w:t>
      </w:r>
      <w:r>
        <w:rPr>
          <w:rFonts w:hint="eastAsia" w:ascii="宋体" w:hAnsi="宋体"/>
          <w:bCs/>
          <w:sz w:val="24"/>
          <w:szCs w:val="18"/>
        </w:rPr>
        <w:t>物管用房4</w:t>
      </w:r>
      <w:r>
        <w:rPr>
          <w:rFonts w:hint="eastAsia" w:ascii="宋体" w:hAnsi="宋体"/>
          <w:bCs/>
          <w:sz w:val="24"/>
          <w:szCs w:val="18"/>
          <w:lang w:val="en-US" w:eastAsia="zh-CN"/>
        </w:rPr>
        <w:t>68</w:t>
      </w:r>
      <w:r>
        <w:rPr>
          <w:rFonts w:hint="eastAsia" w:ascii="宋体" w:hAnsi="宋体"/>
          <w:bCs/>
          <w:sz w:val="24"/>
          <w:szCs w:val="18"/>
        </w:rPr>
        <w:t>.</w:t>
      </w:r>
      <w:r>
        <w:rPr>
          <w:rFonts w:hint="eastAsia" w:ascii="宋体" w:hAnsi="宋体"/>
          <w:bCs/>
          <w:sz w:val="24"/>
          <w:szCs w:val="18"/>
          <w:lang w:val="en-US" w:eastAsia="zh-CN"/>
        </w:rPr>
        <w:t>74</w:t>
      </w:r>
      <w:r>
        <w:rPr>
          <w:rFonts w:hint="eastAsia" w:ascii="宋体" w:hAnsi="宋体"/>
          <w:bCs/>
          <w:sz w:val="24"/>
          <w:szCs w:val="18"/>
        </w:rPr>
        <w:t xml:space="preserve">㎡ </w:t>
      </w:r>
      <w:r>
        <w:rPr>
          <w:rFonts w:hint="eastAsia" w:ascii="宋体" w:hAnsi="宋体"/>
          <w:bCs/>
          <w:sz w:val="24"/>
          <w:szCs w:val="18"/>
          <w:lang w:eastAsia="zh-CN"/>
        </w:rPr>
        <w:t>；</w:t>
      </w:r>
      <w:r>
        <w:rPr>
          <w:rFonts w:hint="eastAsia" w:ascii="宋体" w:hAnsi="宋体"/>
          <w:bCs/>
          <w:sz w:val="24"/>
          <w:szCs w:val="18"/>
        </w:rPr>
        <w:t>机动车位</w:t>
      </w:r>
      <w:r>
        <w:rPr>
          <w:rFonts w:hint="eastAsia" w:ascii="宋体" w:hAnsi="宋体"/>
          <w:bCs/>
          <w:sz w:val="24"/>
          <w:szCs w:val="18"/>
          <w:lang w:val="en-US" w:eastAsia="zh-CN"/>
        </w:rPr>
        <w:t>209</w:t>
      </w:r>
      <w:r>
        <w:rPr>
          <w:rFonts w:hint="eastAsia" w:ascii="宋体" w:hAnsi="宋体"/>
          <w:bCs/>
          <w:sz w:val="24"/>
          <w:szCs w:val="18"/>
        </w:rPr>
        <w:t>个，建筑密度为</w:t>
      </w:r>
      <w:r>
        <w:rPr>
          <w:rFonts w:hint="eastAsia" w:ascii="宋体" w:hAnsi="宋体"/>
          <w:bCs/>
          <w:sz w:val="24"/>
          <w:szCs w:val="18"/>
          <w:lang w:val="en-US" w:eastAsia="zh-CN"/>
        </w:rPr>
        <w:t>39</w:t>
      </w:r>
      <w:r>
        <w:rPr>
          <w:rFonts w:hint="eastAsia" w:ascii="宋体" w:hAnsi="宋体"/>
          <w:bCs/>
          <w:sz w:val="24"/>
          <w:szCs w:val="18"/>
        </w:rPr>
        <w:t>.</w:t>
      </w:r>
      <w:r>
        <w:rPr>
          <w:rFonts w:hint="eastAsia" w:ascii="宋体" w:hAnsi="宋体"/>
          <w:bCs/>
          <w:sz w:val="24"/>
          <w:szCs w:val="18"/>
          <w:lang w:val="en-US" w:eastAsia="zh-CN"/>
        </w:rPr>
        <w:t>55</w:t>
      </w:r>
      <w:r>
        <w:rPr>
          <w:rFonts w:hint="eastAsia" w:ascii="宋体" w:hAnsi="宋体"/>
          <w:bCs/>
          <w:sz w:val="24"/>
          <w:szCs w:val="18"/>
        </w:rPr>
        <w:t>%。</w:t>
      </w:r>
    </w:p>
    <w:p>
      <w:pPr>
        <w:autoSpaceDE w:val="0"/>
        <w:autoSpaceDN w:val="0"/>
        <w:adjustRightInd w:val="0"/>
        <w:spacing w:line="360" w:lineRule="auto"/>
        <w:ind w:firstLine="441" w:firstLineChars="183"/>
        <w:jc w:val="left"/>
        <w:rPr>
          <w:rFonts w:hint="eastAsia" w:ascii="宋体" w:hAnsi="宋体"/>
          <w:b/>
          <w:sz w:val="24"/>
          <w:szCs w:val="18"/>
        </w:rPr>
      </w:pPr>
      <w:r>
        <w:rPr>
          <w:rFonts w:hint="eastAsia" w:ascii="宋体" w:hAnsi="宋体"/>
          <w:b/>
          <w:sz w:val="24"/>
          <w:szCs w:val="18"/>
        </w:rPr>
        <w:t>二、物业服务内容：</w:t>
      </w:r>
    </w:p>
    <w:p>
      <w:pPr>
        <w:spacing w:line="360" w:lineRule="auto"/>
        <w:ind w:firstLine="480" w:firstLineChars="200"/>
        <w:rPr>
          <w:rFonts w:hint="eastAsia" w:ascii="宋体" w:hAnsi="宋体"/>
          <w:sz w:val="24"/>
          <w:szCs w:val="28"/>
        </w:rPr>
      </w:pPr>
      <w:r>
        <w:rPr>
          <w:rFonts w:hint="eastAsia" w:ascii="宋体" w:hAnsi="宋体"/>
          <w:sz w:val="24"/>
          <w:szCs w:val="28"/>
        </w:rPr>
        <w:t>1、物业管理区域内房屋建筑本体、公共部分的维护、管理；</w:t>
      </w:r>
    </w:p>
    <w:p>
      <w:pPr>
        <w:spacing w:line="360" w:lineRule="auto"/>
        <w:ind w:firstLine="480" w:firstLineChars="200"/>
        <w:rPr>
          <w:rFonts w:hint="eastAsia" w:ascii="宋体" w:hAnsi="宋体"/>
          <w:sz w:val="24"/>
          <w:szCs w:val="28"/>
        </w:rPr>
      </w:pPr>
      <w:r>
        <w:rPr>
          <w:rFonts w:hint="eastAsia" w:ascii="宋体" w:hAnsi="宋体"/>
          <w:sz w:val="24"/>
          <w:szCs w:val="28"/>
        </w:rPr>
        <w:t>2、物业管理区域内公共配套设施、设备维护、运行管理；</w:t>
      </w:r>
    </w:p>
    <w:p>
      <w:pPr>
        <w:spacing w:line="360" w:lineRule="auto"/>
        <w:ind w:firstLine="480" w:firstLineChars="200"/>
        <w:rPr>
          <w:rFonts w:hint="eastAsia" w:ascii="宋体" w:hAnsi="宋体"/>
          <w:sz w:val="24"/>
          <w:szCs w:val="28"/>
        </w:rPr>
      </w:pPr>
      <w:r>
        <w:rPr>
          <w:rFonts w:hint="eastAsia" w:ascii="宋体" w:hAnsi="宋体"/>
          <w:sz w:val="24"/>
          <w:szCs w:val="28"/>
        </w:rPr>
        <w:t>3、物业管理区域内公共场所、道路、房屋建筑公共部分清洁卫生、定期消杀、装修及生活垃圾收集清运；</w:t>
      </w:r>
    </w:p>
    <w:p>
      <w:pPr>
        <w:spacing w:line="360" w:lineRule="auto"/>
        <w:ind w:firstLine="480" w:firstLineChars="200"/>
        <w:rPr>
          <w:rFonts w:hint="eastAsia" w:ascii="宋体" w:hAnsi="宋体"/>
          <w:sz w:val="24"/>
          <w:szCs w:val="28"/>
        </w:rPr>
      </w:pPr>
      <w:r>
        <w:rPr>
          <w:rFonts w:hint="eastAsia" w:ascii="宋体" w:hAnsi="宋体"/>
          <w:sz w:val="24"/>
          <w:szCs w:val="28"/>
        </w:rPr>
        <w:t>4、物业管理区域内公共绿化、园林小品的养护和管理；</w:t>
      </w:r>
    </w:p>
    <w:p>
      <w:pPr>
        <w:spacing w:line="360" w:lineRule="auto"/>
        <w:ind w:firstLine="480" w:firstLineChars="200"/>
        <w:rPr>
          <w:rFonts w:hint="eastAsia" w:ascii="宋体" w:hAnsi="宋体"/>
          <w:sz w:val="24"/>
          <w:szCs w:val="28"/>
        </w:rPr>
      </w:pPr>
      <w:r>
        <w:rPr>
          <w:rFonts w:hint="eastAsia" w:ascii="宋体" w:hAnsi="宋体"/>
          <w:sz w:val="24"/>
          <w:szCs w:val="28"/>
        </w:rPr>
        <w:t>5、物业管理区域的日常安全巡查服务；</w:t>
      </w:r>
    </w:p>
    <w:p>
      <w:pPr>
        <w:spacing w:line="360" w:lineRule="auto"/>
        <w:ind w:firstLine="480" w:firstLineChars="200"/>
        <w:rPr>
          <w:rFonts w:hint="eastAsia" w:ascii="宋体" w:hAnsi="宋体"/>
          <w:sz w:val="24"/>
          <w:szCs w:val="28"/>
        </w:rPr>
      </w:pPr>
      <w:r>
        <w:rPr>
          <w:rFonts w:hint="eastAsia" w:ascii="宋体" w:hAnsi="宋体"/>
          <w:sz w:val="24"/>
          <w:szCs w:val="28"/>
        </w:rPr>
        <w:t>6、物业管理区域内业主、使用人装饰装修物业管理服务；</w:t>
      </w:r>
    </w:p>
    <w:p>
      <w:pPr>
        <w:spacing w:line="360" w:lineRule="auto"/>
        <w:ind w:firstLine="480" w:firstLineChars="200"/>
        <w:rPr>
          <w:rFonts w:hint="eastAsia" w:ascii="宋体" w:hAnsi="宋体"/>
          <w:sz w:val="24"/>
          <w:szCs w:val="28"/>
        </w:rPr>
      </w:pPr>
      <w:r>
        <w:rPr>
          <w:rFonts w:hint="eastAsia" w:ascii="宋体" w:hAnsi="宋体"/>
          <w:sz w:val="24"/>
          <w:szCs w:val="28"/>
        </w:rPr>
        <w:t>7、物业管理区域内楼宇自动化设备系统的运行、维护管理；</w:t>
      </w:r>
    </w:p>
    <w:p>
      <w:pPr>
        <w:spacing w:line="360" w:lineRule="auto"/>
        <w:ind w:firstLine="480" w:firstLineChars="200"/>
        <w:rPr>
          <w:rFonts w:hint="eastAsia" w:ascii="宋体" w:hAnsi="宋体"/>
          <w:sz w:val="24"/>
          <w:szCs w:val="28"/>
        </w:rPr>
      </w:pPr>
      <w:r>
        <w:rPr>
          <w:rFonts w:hint="eastAsia" w:ascii="宋体" w:hAnsi="宋体"/>
          <w:sz w:val="24"/>
          <w:szCs w:val="28"/>
        </w:rPr>
        <w:t>8、供水、供电、供气、电信等专业单位在物业管理区域内对相关管线、设施维修养护时，进行必要的协调和管理；</w:t>
      </w:r>
    </w:p>
    <w:p>
      <w:pPr>
        <w:spacing w:line="360" w:lineRule="auto"/>
        <w:ind w:firstLine="480" w:firstLineChars="200"/>
        <w:rPr>
          <w:rFonts w:hint="eastAsia" w:ascii="宋体" w:hAnsi="宋体"/>
          <w:sz w:val="24"/>
          <w:szCs w:val="28"/>
        </w:rPr>
      </w:pPr>
      <w:r>
        <w:rPr>
          <w:rFonts w:hint="eastAsia" w:ascii="宋体" w:hAnsi="宋体"/>
          <w:sz w:val="24"/>
          <w:szCs w:val="28"/>
        </w:rPr>
        <w:t>9、物业管理区域交通、车辆行驶和停泊管理；</w:t>
      </w:r>
    </w:p>
    <w:p>
      <w:pPr>
        <w:spacing w:line="360" w:lineRule="auto"/>
        <w:ind w:firstLine="480" w:firstLineChars="200"/>
        <w:rPr>
          <w:rFonts w:hint="eastAsia" w:ascii="宋体" w:hAnsi="宋体"/>
          <w:sz w:val="24"/>
          <w:szCs w:val="28"/>
        </w:rPr>
      </w:pPr>
      <w:r>
        <w:rPr>
          <w:rFonts w:hint="eastAsia" w:ascii="宋体" w:hAnsi="宋体"/>
          <w:sz w:val="24"/>
          <w:szCs w:val="28"/>
        </w:rPr>
        <w:t>10、物业及物业档案资料收集、管理；</w:t>
      </w:r>
    </w:p>
    <w:p>
      <w:pPr>
        <w:spacing w:line="360" w:lineRule="auto"/>
        <w:ind w:firstLine="480" w:firstLineChars="200"/>
        <w:rPr>
          <w:rFonts w:hint="eastAsia" w:ascii="宋体" w:hAnsi="宋体"/>
          <w:sz w:val="24"/>
          <w:szCs w:val="28"/>
        </w:rPr>
      </w:pPr>
      <w:r>
        <w:rPr>
          <w:rFonts w:hint="eastAsia" w:ascii="宋体" w:hAnsi="宋体"/>
          <w:sz w:val="24"/>
          <w:szCs w:val="28"/>
        </w:rPr>
        <w:t>11、社区文化的开展；</w:t>
      </w:r>
    </w:p>
    <w:p>
      <w:pPr>
        <w:spacing w:line="360" w:lineRule="auto"/>
        <w:ind w:firstLine="480" w:firstLineChars="200"/>
        <w:rPr>
          <w:rFonts w:hint="eastAsia" w:ascii="宋体" w:hAnsi="宋体"/>
          <w:sz w:val="24"/>
          <w:szCs w:val="28"/>
        </w:rPr>
      </w:pPr>
      <w:r>
        <w:rPr>
          <w:rFonts w:hint="eastAsia" w:ascii="宋体" w:hAnsi="宋体"/>
          <w:sz w:val="24"/>
          <w:szCs w:val="28"/>
        </w:rPr>
        <w:t>12、法规和政策规定的由物业管理公司管理的其他事项；</w:t>
      </w:r>
    </w:p>
    <w:p>
      <w:pPr>
        <w:spacing w:line="360" w:lineRule="auto"/>
        <w:ind w:firstLine="480" w:firstLineChars="200"/>
        <w:rPr>
          <w:rFonts w:hint="eastAsia" w:ascii="宋体" w:hAnsi="宋体"/>
          <w:sz w:val="24"/>
          <w:szCs w:val="28"/>
        </w:rPr>
      </w:pPr>
      <w:r>
        <w:rPr>
          <w:rFonts w:hint="eastAsia" w:ascii="宋体" w:hAnsi="宋体"/>
          <w:sz w:val="24"/>
          <w:szCs w:val="28"/>
        </w:rPr>
        <w:t>13、法律法规中确定由物业管理公司应做的其他事项；</w:t>
      </w:r>
    </w:p>
    <w:p>
      <w:pPr>
        <w:spacing w:line="360" w:lineRule="auto"/>
        <w:ind w:firstLine="480" w:firstLineChars="200"/>
        <w:rPr>
          <w:rFonts w:hint="eastAsia" w:ascii="宋体" w:hAnsi="宋体"/>
          <w:sz w:val="24"/>
          <w:szCs w:val="28"/>
        </w:rPr>
      </w:pPr>
      <w:r>
        <w:rPr>
          <w:rFonts w:hint="eastAsia" w:ascii="宋体" w:hAnsi="宋体"/>
          <w:sz w:val="24"/>
          <w:szCs w:val="28"/>
        </w:rPr>
        <w:t>14、法律政策和物业服务合同中规定的其他事项。</w:t>
      </w:r>
    </w:p>
    <w:p>
      <w:pPr>
        <w:autoSpaceDE w:val="0"/>
        <w:autoSpaceDN w:val="0"/>
        <w:adjustRightInd w:val="0"/>
        <w:spacing w:line="360" w:lineRule="auto"/>
        <w:ind w:firstLine="200"/>
        <w:jc w:val="left"/>
        <w:rPr>
          <w:rFonts w:hint="eastAsia" w:ascii="宋体" w:hAnsi="宋体"/>
          <w:b/>
          <w:sz w:val="24"/>
          <w:szCs w:val="18"/>
        </w:rPr>
      </w:pPr>
      <w:r>
        <w:rPr>
          <w:rFonts w:hint="eastAsia" w:ascii="宋体" w:hAnsi="宋体"/>
          <w:b/>
          <w:sz w:val="24"/>
          <w:szCs w:val="18"/>
        </w:rPr>
        <w:t>三、物业服务标准：</w:t>
      </w:r>
    </w:p>
    <w:p>
      <w:pPr>
        <w:spacing w:line="360" w:lineRule="auto"/>
        <w:ind w:firstLine="480" w:firstLineChars="200"/>
        <w:rPr>
          <w:rFonts w:hint="eastAsia" w:ascii="宋体" w:hAnsi="宋体" w:eastAsia="宋体"/>
          <w:sz w:val="24"/>
          <w:szCs w:val="28"/>
          <w:lang w:val="en-US" w:eastAsia="zh-CN"/>
        </w:rPr>
      </w:pPr>
      <w:r>
        <w:rPr>
          <w:rFonts w:hint="eastAsia" w:ascii="宋体" w:hAnsi="宋体"/>
          <w:bCs/>
          <w:sz w:val="24"/>
          <w:szCs w:val="18"/>
        </w:rPr>
        <w:t xml:space="preserve"> 参照桐城市发改委和桐城市住建局制定桐发改价（2021）190号关于印发《桐城市住宅小区物业服务收费管理办法》的文件A级服务标准执行</w:t>
      </w:r>
      <w:r>
        <w:rPr>
          <w:rFonts w:hint="eastAsia" w:ascii="宋体" w:hAnsi="宋体"/>
          <w:bCs/>
          <w:sz w:val="24"/>
          <w:szCs w:val="18"/>
          <w:lang w:val="en-US" w:eastAsia="zh-CN"/>
        </w:rPr>
        <w:t>.</w:t>
      </w:r>
    </w:p>
    <w:p>
      <w:pPr>
        <w:spacing w:line="360" w:lineRule="auto"/>
        <w:ind w:firstLine="480" w:firstLineChars="200"/>
        <w:rPr>
          <w:rFonts w:hint="eastAsia" w:ascii="宋体" w:hAnsi="宋体"/>
          <w:sz w:val="24"/>
          <w:szCs w:val="28"/>
        </w:rPr>
      </w:pPr>
      <w:r>
        <w:rPr>
          <w:rFonts w:hint="eastAsia" w:ascii="宋体" w:hAnsi="宋体"/>
          <w:sz w:val="24"/>
          <w:szCs w:val="28"/>
        </w:rPr>
        <w:t>2、人员配备按照以上标准配置，人员工资不得低于桐城市最低工资标准，保险按照国家相关规定执行。投标人应考虑合同期内最低工资等政策性费用调整的风险。成本核算时所有配备的人员都应计算保险部分，不得以使用40、50人员为由不予核算。</w:t>
      </w:r>
    </w:p>
    <w:p>
      <w:pPr>
        <w:spacing w:line="360" w:lineRule="auto"/>
        <w:ind w:firstLine="480" w:firstLineChars="200"/>
        <w:rPr>
          <w:rFonts w:hint="eastAsia" w:ascii="宋体" w:hAnsi="宋体"/>
          <w:sz w:val="24"/>
          <w:szCs w:val="28"/>
          <w:highlight w:val="none"/>
        </w:rPr>
      </w:pPr>
      <w:r>
        <w:rPr>
          <w:rFonts w:hint="eastAsia" w:ascii="宋体" w:hAnsi="宋体"/>
          <w:sz w:val="24"/>
          <w:szCs w:val="28"/>
          <w:highlight w:val="none"/>
        </w:rPr>
        <w:t>3、人员任职要求</w:t>
      </w:r>
    </w:p>
    <w:p>
      <w:pPr>
        <w:spacing w:line="360" w:lineRule="auto"/>
        <w:ind w:firstLine="480" w:firstLineChars="200"/>
        <w:rPr>
          <w:rFonts w:hint="eastAsia" w:ascii="宋体" w:hAnsi="宋体" w:eastAsia="宋体" w:cs="Times New Roman"/>
          <w:sz w:val="24"/>
          <w:szCs w:val="28"/>
          <w:lang w:eastAsia="zh-CN"/>
        </w:rPr>
      </w:pPr>
      <w:r>
        <w:rPr>
          <w:rFonts w:hint="eastAsia" w:ascii="宋体" w:hAnsi="宋体"/>
          <w:sz w:val="24"/>
          <w:szCs w:val="28"/>
          <w:highlight w:val="none"/>
        </w:rPr>
        <w:t>（1）项目经理：</w:t>
      </w:r>
      <w:r>
        <w:rPr>
          <w:rFonts w:hint="eastAsia" w:ascii="宋体" w:hAnsi="宋体" w:eastAsia="宋体" w:cs="Times New Roman"/>
          <w:sz w:val="24"/>
          <w:szCs w:val="28"/>
          <w:lang w:val="en-US"/>
        </w:rPr>
        <w:t>全日制本科及以上学历</w:t>
      </w:r>
      <w:r>
        <w:rPr>
          <w:rFonts w:hint="eastAsia" w:ascii="宋体" w:hAnsi="宋体" w:eastAsia="宋体" w:cs="Times New Roman"/>
          <w:sz w:val="24"/>
          <w:szCs w:val="28"/>
          <w:lang w:val="en-US" w:eastAsia="zh-CN"/>
        </w:rPr>
        <w:t>且为中共党员，</w:t>
      </w:r>
      <w:r>
        <w:rPr>
          <w:rFonts w:hint="eastAsia" w:ascii="宋体" w:hAnsi="宋体" w:eastAsia="宋体" w:cs="Times New Roman"/>
          <w:sz w:val="24"/>
          <w:szCs w:val="28"/>
        </w:rPr>
        <w:t>人社部门颁发的中级及以上职称证书</w:t>
      </w:r>
      <w:r>
        <w:rPr>
          <w:rFonts w:hint="eastAsia" w:ascii="宋体" w:hAnsi="宋体" w:eastAsia="宋体" w:cs="Times New Roman"/>
          <w:sz w:val="24"/>
          <w:szCs w:val="28"/>
          <w:lang w:eastAsia="zh-CN"/>
        </w:rPr>
        <w:t>，</w:t>
      </w:r>
      <w:r>
        <w:rPr>
          <w:rFonts w:hint="eastAsia" w:ascii="宋体" w:hAnsi="宋体" w:eastAsia="宋体" w:cs="Times New Roman"/>
          <w:sz w:val="24"/>
          <w:szCs w:val="28"/>
        </w:rPr>
        <w:t>全国物业管理企业经理证</w:t>
      </w:r>
      <w:r>
        <w:rPr>
          <w:rFonts w:hint="eastAsia" w:ascii="宋体" w:hAnsi="宋体" w:eastAsia="宋体" w:cs="Times New Roman"/>
          <w:sz w:val="24"/>
          <w:szCs w:val="28"/>
          <w:lang w:eastAsia="zh-CN"/>
        </w:rPr>
        <w:t>，</w:t>
      </w:r>
      <w:r>
        <w:rPr>
          <w:rFonts w:hint="eastAsia" w:ascii="宋体" w:hAnsi="宋体" w:eastAsia="宋体" w:cs="Times New Roman"/>
          <w:sz w:val="24"/>
          <w:szCs w:val="28"/>
          <w:lang w:val="en-US" w:eastAsia="zh-CN"/>
        </w:rPr>
        <w:t>年龄不超过40岁，具有三年以上工作经验；</w:t>
      </w:r>
    </w:p>
    <w:p>
      <w:pPr>
        <w:spacing w:line="360" w:lineRule="auto"/>
        <w:ind w:firstLine="480" w:firstLineChars="200"/>
        <w:rPr>
          <w:rFonts w:hint="eastAsia" w:ascii="宋体" w:hAnsi="宋体" w:eastAsia="宋体" w:cs="Times New Roman"/>
          <w:sz w:val="24"/>
          <w:szCs w:val="28"/>
          <w:highlight w:val="none"/>
          <w:lang w:eastAsia="zh-CN"/>
        </w:rPr>
      </w:pPr>
      <w:r>
        <w:rPr>
          <w:rFonts w:hint="eastAsia" w:ascii="宋体" w:hAnsi="宋体" w:eastAsia="宋体" w:cs="Times New Roman"/>
          <w:sz w:val="24"/>
          <w:szCs w:val="28"/>
          <w:highlight w:val="none"/>
        </w:rPr>
        <w:t>（2）</w:t>
      </w:r>
      <w:r>
        <w:rPr>
          <w:rFonts w:hint="eastAsia" w:ascii="宋体" w:hAnsi="宋体" w:eastAsia="宋体" w:cs="Times New Roman"/>
          <w:sz w:val="24"/>
          <w:szCs w:val="28"/>
          <w:highlight w:val="none"/>
          <w:lang w:eastAsia="zh-CN"/>
        </w:rPr>
        <w:t>秩序主管：</w:t>
      </w:r>
      <w:r>
        <w:rPr>
          <w:rFonts w:hint="eastAsia" w:ascii="宋体" w:hAnsi="宋体" w:eastAsia="宋体" w:cs="Times New Roman"/>
          <w:sz w:val="24"/>
          <w:szCs w:val="28"/>
          <w:highlight w:val="none"/>
          <w:lang w:val="en-US" w:eastAsia="zh-CN"/>
        </w:rPr>
        <w:t>本科或本科以上学历，退伍军人证及保安员证，三级及以上消防设施操作员证或建构筑物消防员证；</w:t>
      </w:r>
    </w:p>
    <w:p>
      <w:pPr>
        <w:spacing w:line="360" w:lineRule="auto"/>
        <w:ind w:firstLine="480" w:firstLineChars="200"/>
        <w:rPr>
          <w:rFonts w:hint="eastAsia" w:ascii="宋体" w:hAnsi="宋体"/>
          <w:sz w:val="24"/>
          <w:szCs w:val="28"/>
          <w:highlight w:val="yellow"/>
        </w:rPr>
      </w:pPr>
      <w:r>
        <w:rPr>
          <w:rFonts w:hint="eastAsia" w:ascii="宋体" w:hAnsi="宋体" w:eastAsia="宋体" w:cs="Times New Roman"/>
          <w:sz w:val="24"/>
          <w:szCs w:val="28"/>
          <w:highlight w:val="none"/>
        </w:rPr>
        <w:t>（3）工程主管：大专</w:t>
      </w:r>
      <w:r>
        <w:rPr>
          <w:rFonts w:hint="eastAsia" w:ascii="宋体" w:hAnsi="宋体" w:eastAsia="宋体" w:cs="Times New Roman"/>
          <w:sz w:val="24"/>
          <w:szCs w:val="28"/>
          <w:highlight w:val="none"/>
          <w:lang w:val="en-US" w:eastAsia="zh-CN"/>
        </w:rPr>
        <w:t>或大专以上</w:t>
      </w:r>
      <w:r>
        <w:rPr>
          <w:rFonts w:hint="eastAsia" w:ascii="宋体" w:hAnsi="宋体" w:eastAsia="宋体" w:cs="Times New Roman"/>
          <w:sz w:val="24"/>
          <w:szCs w:val="28"/>
          <w:highlight w:val="none"/>
        </w:rPr>
        <w:t>以上学历</w:t>
      </w:r>
      <w:r>
        <w:rPr>
          <w:rFonts w:hint="eastAsia" w:ascii="宋体" w:hAnsi="宋体" w:eastAsia="宋体" w:cs="Times New Roman"/>
          <w:sz w:val="24"/>
          <w:szCs w:val="28"/>
          <w:highlight w:val="none"/>
          <w:lang w:eastAsia="zh-CN"/>
        </w:rPr>
        <w:t>，</w:t>
      </w:r>
      <w:r>
        <w:rPr>
          <w:rFonts w:hint="eastAsia" w:ascii="宋体" w:hAnsi="宋体" w:eastAsia="宋体" w:cs="Times New Roman"/>
          <w:sz w:val="24"/>
          <w:szCs w:val="28"/>
          <w:highlight w:val="none"/>
          <w:lang w:val="en-US"/>
        </w:rPr>
        <w:t>特种设备安全和作业人员证(A类)，</w:t>
      </w:r>
      <w:r>
        <w:rPr>
          <w:rFonts w:hint="eastAsia" w:ascii="宋体" w:hAnsi="宋体" w:eastAsia="宋体" w:cs="Times New Roman"/>
          <w:sz w:val="24"/>
          <w:szCs w:val="28"/>
          <w:highlight w:val="none"/>
          <w:lang w:val="en-US" w:eastAsia="zh-CN"/>
        </w:rPr>
        <w:t>高压及低压</w:t>
      </w:r>
      <w:r>
        <w:rPr>
          <w:rFonts w:hint="eastAsia" w:ascii="宋体" w:hAnsi="宋体" w:eastAsia="宋体" w:cs="Times New Roman"/>
          <w:sz w:val="24"/>
          <w:szCs w:val="28"/>
          <w:highlight w:val="none"/>
        </w:rPr>
        <w:t>电工</w:t>
      </w:r>
      <w:r>
        <w:rPr>
          <w:rFonts w:hint="eastAsia" w:ascii="宋体" w:hAnsi="宋体" w:eastAsia="宋体" w:cs="Times New Roman"/>
          <w:sz w:val="24"/>
          <w:szCs w:val="28"/>
          <w:highlight w:val="none"/>
          <w:lang w:val="en-US" w:eastAsia="zh-CN"/>
        </w:rPr>
        <w:t>操作证</w:t>
      </w:r>
      <w:r>
        <w:rPr>
          <w:rFonts w:hint="eastAsia" w:ascii="宋体" w:hAnsi="宋体" w:eastAsia="宋体" w:cs="Times New Roman"/>
          <w:sz w:val="24"/>
          <w:szCs w:val="28"/>
          <w:highlight w:val="none"/>
        </w:rPr>
        <w:t>，</w:t>
      </w:r>
      <w:r>
        <w:rPr>
          <w:rFonts w:hint="eastAsia" w:ascii="宋体" w:hAnsi="宋体" w:eastAsia="宋体" w:cs="Times New Roman"/>
          <w:sz w:val="24"/>
          <w:szCs w:val="28"/>
          <w:highlight w:val="none"/>
          <w:lang w:val="en-US" w:eastAsia="zh-CN"/>
        </w:rPr>
        <w:t>高级消防工程师证；</w:t>
      </w:r>
    </w:p>
    <w:p>
      <w:pPr>
        <w:spacing w:line="360" w:lineRule="auto"/>
        <w:ind w:firstLine="480" w:firstLineChars="200"/>
        <w:rPr>
          <w:rFonts w:hint="eastAsia" w:ascii="宋体" w:hAnsi="宋体"/>
          <w:sz w:val="24"/>
          <w:szCs w:val="28"/>
          <w:highlight w:val="none"/>
        </w:rPr>
      </w:pPr>
      <w:r>
        <w:rPr>
          <w:rFonts w:hint="eastAsia" w:ascii="宋体" w:hAnsi="宋体"/>
          <w:sz w:val="24"/>
          <w:szCs w:val="28"/>
          <w:highlight w:val="none"/>
        </w:rPr>
        <w:t>（</w:t>
      </w:r>
      <w:r>
        <w:rPr>
          <w:rFonts w:hint="eastAsia" w:ascii="宋体" w:hAnsi="宋体"/>
          <w:sz w:val="24"/>
          <w:szCs w:val="28"/>
          <w:highlight w:val="none"/>
          <w:lang w:val="en-US" w:eastAsia="zh-CN"/>
        </w:rPr>
        <w:t>4</w:t>
      </w:r>
      <w:r>
        <w:rPr>
          <w:rFonts w:hint="eastAsia" w:ascii="宋体" w:hAnsi="宋体"/>
          <w:sz w:val="24"/>
          <w:szCs w:val="28"/>
          <w:highlight w:val="none"/>
        </w:rPr>
        <w:t>）保安：身体健康，品行端正，身高170CM以上，年龄在5</w:t>
      </w:r>
      <w:r>
        <w:rPr>
          <w:rFonts w:hint="eastAsia" w:ascii="宋体" w:hAnsi="宋体"/>
          <w:sz w:val="24"/>
          <w:szCs w:val="28"/>
          <w:highlight w:val="none"/>
          <w:lang w:val="en-US" w:eastAsia="zh-CN"/>
        </w:rPr>
        <w:t>0</w:t>
      </w:r>
      <w:r>
        <w:rPr>
          <w:rFonts w:hint="eastAsia" w:ascii="宋体" w:hAnsi="宋体"/>
          <w:sz w:val="24"/>
          <w:szCs w:val="28"/>
          <w:highlight w:val="none"/>
        </w:rPr>
        <w:t>周岁以下，形象岗在45周岁以下。须经过严格的岗前培训，基本掌握队列操练、交通手势等基础知识，工作时着正规保安服装上岗，严守纪律，严谨细致，认真负责，有勇有谋，服从指挥；</w:t>
      </w:r>
    </w:p>
    <w:p>
      <w:pPr>
        <w:spacing w:line="360" w:lineRule="auto"/>
        <w:ind w:firstLine="480" w:firstLineChars="200"/>
        <w:rPr>
          <w:rFonts w:hint="eastAsia" w:ascii="宋体" w:hAnsi="宋体"/>
          <w:sz w:val="24"/>
          <w:szCs w:val="28"/>
          <w:highlight w:val="none"/>
        </w:rPr>
      </w:pPr>
      <w:r>
        <w:rPr>
          <w:rFonts w:hint="eastAsia" w:ascii="宋体" w:hAnsi="宋体"/>
          <w:sz w:val="24"/>
          <w:szCs w:val="28"/>
          <w:highlight w:val="none"/>
        </w:rPr>
        <w:t>（</w:t>
      </w:r>
      <w:r>
        <w:rPr>
          <w:rFonts w:hint="eastAsia" w:ascii="宋体" w:hAnsi="宋体"/>
          <w:sz w:val="24"/>
          <w:szCs w:val="28"/>
          <w:highlight w:val="none"/>
          <w:lang w:val="en-US" w:eastAsia="zh-CN"/>
        </w:rPr>
        <w:t>5</w:t>
      </w:r>
      <w:r>
        <w:rPr>
          <w:rFonts w:hint="eastAsia" w:ascii="宋体" w:hAnsi="宋体"/>
          <w:sz w:val="24"/>
          <w:szCs w:val="28"/>
          <w:highlight w:val="none"/>
        </w:rPr>
        <w:t>）保洁：身体健康，五官端正，年龄不得高于55岁，具有2年以上工作经验；</w:t>
      </w:r>
    </w:p>
    <w:p>
      <w:pPr>
        <w:spacing w:line="360" w:lineRule="auto"/>
        <w:ind w:firstLine="480" w:firstLineChars="200"/>
        <w:rPr>
          <w:rFonts w:hint="eastAsia" w:ascii="宋体" w:hAnsi="宋体"/>
          <w:sz w:val="24"/>
          <w:szCs w:val="28"/>
          <w:highlight w:val="none"/>
        </w:rPr>
      </w:pPr>
      <w:r>
        <w:rPr>
          <w:rFonts w:hint="eastAsia" w:ascii="宋体" w:hAnsi="宋体"/>
          <w:sz w:val="24"/>
          <w:szCs w:val="28"/>
          <w:highlight w:val="none"/>
        </w:rPr>
        <w:t>（</w:t>
      </w:r>
      <w:r>
        <w:rPr>
          <w:rFonts w:hint="eastAsia" w:ascii="宋体" w:hAnsi="宋体"/>
          <w:sz w:val="24"/>
          <w:szCs w:val="28"/>
          <w:highlight w:val="none"/>
          <w:lang w:val="en-US" w:eastAsia="zh-CN"/>
        </w:rPr>
        <w:t>6</w:t>
      </w:r>
      <w:r>
        <w:rPr>
          <w:rFonts w:hint="eastAsia" w:ascii="宋体" w:hAnsi="宋体"/>
          <w:sz w:val="24"/>
          <w:szCs w:val="28"/>
          <w:highlight w:val="none"/>
        </w:rPr>
        <w:t>）工程维修人员：须持有电梯安全管理员证，年龄35周岁以上，并取得专业技术岗位证书并年检合格，</w:t>
      </w:r>
      <w:r>
        <w:rPr>
          <w:rFonts w:hint="eastAsia" w:ascii="宋体" w:hAnsi="宋体"/>
          <w:sz w:val="24"/>
          <w:szCs w:val="28"/>
          <w:highlight w:val="none"/>
          <w:lang w:val="en-US" w:eastAsia="zh-CN"/>
        </w:rPr>
        <w:t>3</w:t>
      </w:r>
      <w:r>
        <w:rPr>
          <w:rFonts w:hint="eastAsia" w:ascii="宋体" w:hAnsi="宋体"/>
          <w:sz w:val="24"/>
          <w:szCs w:val="28"/>
          <w:highlight w:val="none"/>
        </w:rPr>
        <w:t>年以上工作经验。</w:t>
      </w:r>
    </w:p>
    <w:p>
      <w:pPr>
        <w:spacing w:line="360" w:lineRule="auto"/>
        <w:ind w:firstLine="480" w:firstLineChars="200"/>
        <w:rPr>
          <w:rFonts w:hint="eastAsia" w:ascii="宋体" w:hAnsi="宋体"/>
          <w:sz w:val="24"/>
          <w:szCs w:val="28"/>
        </w:rPr>
      </w:pPr>
      <w:r>
        <w:rPr>
          <w:rFonts w:hint="eastAsia" w:ascii="宋体" w:hAnsi="宋体"/>
          <w:sz w:val="24"/>
          <w:szCs w:val="28"/>
        </w:rPr>
        <w:t>注：投标文件中仅需提供评分标准中要求的人员证件，其余相关证明材料采购人有权在签订合同前核查。</w:t>
      </w:r>
    </w:p>
    <w:p>
      <w:pPr>
        <w:autoSpaceDE w:val="0"/>
        <w:autoSpaceDN w:val="0"/>
        <w:adjustRightInd w:val="0"/>
        <w:spacing w:line="360" w:lineRule="auto"/>
        <w:jc w:val="left"/>
        <w:rPr>
          <w:rFonts w:hint="eastAsia" w:ascii="宋体" w:hAnsi="宋体"/>
          <w:b/>
          <w:sz w:val="24"/>
          <w:szCs w:val="18"/>
        </w:rPr>
      </w:pPr>
      <w:r>
        <w:rPr>
          <w:rFonts w:hint="eastAsia" w:ascii="宋体" w:hAnsi="宋体"/>
          <w:b/>
          <w:sz w:val="24"/>
          <w:szCs w:val="18"/>
        </w:rPr>
        <w:t>四、报价说明：</w:t>
      </w:r>
    </w:p>
    <w:p>
      <w:pPr>
        <w:spacing w:line="360" w:lineRule="auto"/>
        <w:ind w:firstLine="480" w:firstLineChars="200"/>
        <w:rPr>
          <w:rFonts w:hint="eastAsia" w:ascii="宋体" w:hAnsi="宋体"/>
          <w:sz w:val="24"/>
          <w:szCs w:val="28"/>
          <w:highlight w:val="none"/>
        </w:rPr>
      </w:pPr>
      <w:r>
        <w:rPr>
          <w:rFonts w:hint="eastAsia" w:ascii="宋体" w:hAnsi="宋体"/>
          <w:sz w:val="24"/>
          <w:szCs w:val="28"/>
          <w:highlight w:val="none"/>
          <w:lang w:val="en-US" w:eastAsia="zh-CN"/>
        </w:rPr>
        <w:t>1、</w:t>
      </w:r>
      <w:r>
        <w:rPr>
          <w:rFonts w:hint="eastAsia" w:ascii="宋体" w:hAnsi="宋体"/>
          <w:sz w:val="24"/>
          <w:szCs w:val="28"/>
          <w:highlight w:val="none"/>
        </w:rPr>
        <w:t>前期开办费采购人按照《安徽省物业管理条例》规定，双方约定按中标价2% 补贴给投标人；</w:t>
      </w:r>
    </w:p>
    <w:p>
      <w:pPr>
        <w:spacing w:line="360" w:lineRule="auto"/>
        <w:ind w:firstLine="480" w:firstLineChars="200"/>
        <w:rPr>
          <w:rFonts w:hint="eastAsia" w:ascii="宋体" w:hAnsi="宋体"/>
          <w:sz w:val="24"/>
          <w:szCs w:val="28"/>
        </w:rPr>
      </w:pPr>
      <w:r>
        <w:rPr>
          <w:rFonts w:hint="eastAsia" w:ascii="宋体" w:hAnsi="宋体"/>
          <w:sz w:val="24"/>
          <w:szCs w:val="28"/>
        </w:rPr>
        <w:t>2、投标总价的计算过程为：</w:t>
      </w:r>
    </w:p>
    <w:p>
      <w:pPr>
        <w:spacing w:line="360" w:lineRule="auto"/>
        <w:ind w:firstLine="480" w:firstLineChars="200"/>
        <w:rPr>
          <w:rFonts w:hint="eastAsia" w:ascii="宋体" w:hAnsi="宋体"/>
          <w:sz w:val="24"/>
          <w:szCs w:val="28"/>
        </w:rPr>
      </w:pPr>
      <w:r>
        <w:rPr>
          <w:rFonts w:hint="eastAsia" w:ascii="宋体" w:hAnsi="宋体"/>
          <w:sz w:val="24"/>
          <w:szCs w:val="28"/>
        </w:rPr>
        <w:t>（1）</w:t>
      </w:r>
      <w:r>
        <w:rPr>
          <w:rFonts w:hint="eastAsia" w:ascii="宋体" w:hAnsi="宋体"/>
          <w:sz w:val="24"/>
          <w:szCs w:val="28"/>
          <w:lang w:val="en-US" w:eastAsia="zh-CN"/>
        </w:rPr>
        <w:t>一期</w:t>
      </w:r>
      <w:r>
        <w:rPr>
          <w:rFonts w:hint="eastAsia" w:ascii="宋体" w:hAnsi="宋体"/>
          <w:sz w:val="24"/>
          <w:szCs w:val="28"/>
        </w:rPr>
        <w:t>建筑部分：</w:t>
      </w:r>
      <w:r>
        <w:rPr>
          <w:rFonts w:hint="eastAsia" w:ascii="宋体" w:hAnsi="宋体"/>
          <w:bCs/>
          <w:sz w:val="24"/>
          <w:szCs w:val="18"/>
          <w:lang w:val="en-US" w:eastAsia="zh-CN"/>
        </w:rPr>
        <w:t>66361</w:t>
      </w:r>
      <w:r>
        <w:rPr>
          <w:rFonts w:hint="eastAsia" w:ascii="宋体" w:hAnsi="宋体"/>
          <w:bCs/>
          <w:sz w:val="24"/>
          <w:szCs w:val="18"/>
        </w:rPr>
        <w:t>.</w:t>
      </w:r>
      <w:r>
        <w:rPr>
          <w:rFonts w:hint="eastAsia" w:ascii="宋体" w:hAnsi="宋体"/>
          <w:bCs/>
          <w:sz w:val="24"/>
          <w:szCs w:val="18"/>
          <w:lang w:val="en-US" w:eastAsia="zh-CN"/>
        </w:rPr>
        <w:t>06</w:t>
      </w:r>
      <w:r>
        <w:rPr>
          <w:rFonts w:hint="eastAsia" w:ascii="宋体" w:hAnsi="宋体"/>
          <w:sz w:val="24"/>
          <w:szCs w:val="28"/>
        </w:rPr>
        <w:t>平方米 × a元/平方米•月×12月= A元</w:t>
      </w:r>
    </w:p>
    <w:p>
      <w:pPr>
        <w:spacing w:line="360" w:lineRule="auto"/>
        <w:ind w:firstLine="480" w:firstLineChars="200"/>
        <w:rPr>
          <w:rFonts w:hint="eastAsia" w:ascii="宋体" w:hAnsi="宋体"/>
          <w:sz w:val="24"/>
          <w:szCs w:val="28"/>
        </w:rPr>
      </w:pPr>
      <w:r>
        <w:rPr>
          <w:rFonts w:hint="eastAsia" w:ascii="宋体" w:hAnsi="宋体"/>
          <w:sz w:val="24"/>
          <w:szCs w:val="28"/>
        </w:rPr>
        <w:t>（2）</w:t>
      </w:r>
      <w:r>
        <w:rPr>
          <w:rFonts w:hint="eastAsia" w:ascii="宋体" w:hAnsi="宋体"/>
          <w:sz w:val="24"/>
          <w:szCs w:val="28"/>
          <w:lang w:val="en-US" w:eastAsia="zh-CN"/>
        </w:rPr>
        <w:t>二期建筑</w:t>
      </w:r>
      <w:r>
        <w:rPr>
          <w:rFonts w:hint="eastAsia" w:ascii="宋体" w:hAnsi="宋体"/>
          <w:sz w:val="24"/>
          <w:szCs w:val="28"/>
        </w:rPr>
        <w:t>部分：</w:t>
      </w:r>
      <w:r>
        <w:rPr>
          <w:rFonts w:hint="eastAsia" w:ascii="宋体" w:hAnsi="宋体"/>
          <w:bCs/>
          <w:sz w:val="24"/>
          <w:szCs w:val="18"/>
          <w:lang w:val="en-US" w:eastAsia="zh-CN"/>
        </w:rPr>
        <w:t>79715</w:t>
      </w:r>
      <w:r>
        <w:rPr>
          <w:rFonts w:hint="eastAsia" w:ascii="宋体" w:hAnsi="宋体"/>
          <w:bCs/>
          <w:sz w:val="24"/>
          <w:szCs w:val="18"/>
        </w:rPr>
        <w:t>.</w:t>
      </w:r>
      <w:r>
        <w:rPr>
          <w:rFonts w:hint="eastAsia" w:ascii="宋体" w:hAnsi="宋体"/>
          <w:bCs/>
          <w:sz w:val="24"/>
          <w:szCs w:val="18"/>
          <w:lang w:val="en-US" w:eastAsia="zh-CN"/>
        </w:rPr>
        <w:t>23</w:t>
      </w:r>
      <w:r>
        <w:rPr>
          <w:rFonts w:hint="eastAsia" w:ascii="宋体" w:hAnsi="宋体"/>
          <w:sz w:val="24"/>
          <w:szCs w:val="28"/>
        </w:rPr>
        <w:t>平方米 × b元/平方米•月×12月= B元</w:t>
      </w:r>
    </w:p>
    <w:p>
      <w:pPr>
        <w:spacing w:line="360" w:lineRule="auto"/>
        <w:ind w:firstLine="480" w:firstLineChars="200"/>
        <w:rPr>
          <w:rFonts w:hint="eastAsia" w:ascii="宋体" w:hAnsi="宋体"/>
          <w:sz w:val="24"/>
          <w:szCs w:val="28"/>
        </w:rPr>
      </w:pPr>
      <w:r>
        <w:rPr>
          <w:rFonts w:hint="eastAsia" w:ascii="宋体" w:hAnsi="宋体"/>
          <w:sz w:val="24"/>
          <w:szCs w:val="28"/>
        </w:rPr>
        <w:t>（3）地上车位：</w:t>
      </w:r>
      <w:r>
        <w:rPr>
          <w:rFonts w:hint="eastAsia" w:ascii="宋体" w:hAnsi="宋体"/>
          <w:sz w:val="24"/>
          <w:szCs w:val="28"/>
          <w:lang w:val="en-US" w:eastAsia="zh-CN"/>
        </w:rPr>
        <w:t xml:space="preserve">  </w:t>
      </w:r>
      <w:r>
        <w:rPr>
          <w:rFonts w:hint="eastAsia" w:ascii="宋体" w:hAnsi="宋体"/>
          <w:sz w:val="24"/>
          <w:szCs w:val="28"/>
        </w:rPr>
        <w:t xml:space="preserve">个 × </w:t>
      </w:r>
      <w:r>
        <w:rPr>
          <w:rFonts w:hint="eastAsia" w:ascii="宋体" w:hAnsi="宋体"/>
          <w:sz w:val="24"/>
          <w:szCs w:val="28"/>
          <w:lang w:val="en-US" w:eastAsia="zh-CN"/>
        </w:rPr>
        <w:t>c</w:t>
      </w:r>
      <w:r>
        <w:rPr>
          <w:rFonts w:hint="eastAsia" w:ascii="宋体" w:hAnsi="宋体"/>
          <w:sz w:val="24"/>
          <w:szCs w:val="28"/>
        </w:rPr>
        <w:t xml:space="preserve">元/个/月×12月= </w:t>
      </w:r>
      <w:r>
        <w:rPr>
          <w:rFonts w:hint="eastAsia" w:ascii="宋体" w:hAnsi="宋体"/>
          <w:sz w:val="24"/>
          <w:szCs w:val="28"/>
          <w:lang w:val="en-US" w:eastAsia="zh-CN"/>
        </w:rPr>
        <w:t>c</w:t>
      </w:r>
      <w:r>
        <w:rPr>
          <w:rFonts w:hint="eastAsia" w:ascii="宋体" w:hAnsi="宋体"/>
          <w:sz w:val="24"/>
          <w:szCs w:val="28"/>
        </w:rPr>
        <w:t>元</w:t>
      </w:r>
    </w:p>
    <w:p>
      <w:pPr>
        <w:spacing w:line="360" w:lineRule="auto"/>
        <w:ind w:firstLine="720" w:firstLineChars="300"/>
        <w:rPr>
          <w:rFonts w:hint="eastAsia" w:ascii="宋体" w:hAnsi="宋体"/>
          <w:sz w:val="24"/>
          <w:szCs w:val="28"/>
        </w:rPr>
      </w:pPr>
      <w:r>
        <w:rPr>
          <w:rFonts w:hint="eastAsia" w:ascii="宋体" w:hAnsi="宋体"/>
          <w:sz w:val="24"/>
          <w:szCs w:val="28"/>
        </w:rPr>
        <w:t>投标总报价 X = A + B + C 不考虑收费率）</w:t>
      </w:r>
    </w:p>
    <w:p>
      <w:pPr>
        <w:numPr>
          <w:ilvl w:val="0"/>
          <w:numId w:val="4"/>
        </w:numPr>
        <w:spacing w:line="360" w:lineRule="auto"/>
        <w:ind w:firstLine="480" w:firstLineChars="200"/>
        <w:rPr>
          <w:rFonts w:hint="eastAsia" w:ascii="宋体" w:hAnsi="宋体"/>
          <w:sz w:val="24"/>
          <w:szCs w:val="28"/>
        </w:rPr>
      </w:pPr>
      <w:r>
        <w:rPr>
          <w:rFonts w:hint="eastAsia" w:ascii="宋体" w:hAnsi="宋体"/>
          <w:sz w:val="24"/>
          <w:szCs w:val="28"/>
        </w:rPr>
        <w:t>a元/平方米·月、b元/平方米·月、c元/平方米·月</w:t>
      </w:r>
    </w:p>
    <w:p>
      <w:pPr>
        <w:spacing w:line="360" w:lineRule="auto"/>
        <w:ind w:firstLine="480" w:firstLineChars="200"/>
        <w:rPr>
          <w:rFonts w:hint="eastAsia" w:ascii="宋体" w:hAnsi="宋体"/>
          <w:sz w:val="24"/>
          <w:szCs w:val="28"/>
        </w:rPr>
      </w:pPr>
      <w:r>
        <w:rPr>
          <w:rFonts w:hint="eastAsia" w:ascii="宋体" w:hAnsi="宋体"/>
          <w:sz w:val="24"/>
          <w:szCs w:val="28"/>
        </w:rPr>
        <w:t>即为项目交付后中标方实际向业主收取的物业管理费单价，按照购房人的产权面积计算及车位使用数量计算；</w:t>
      </w:r>
    </w:p>
    <w:p>
      <w:pPr>
        <w:spacing w:line="360" w:lineRule="auto"/>
        <w:ind w:firstLine="480" w:firstLineChars="200"/>
        <w:rPr>
          <w:rFonts w:ascii="宋体" w:hAnsi="宋体"/>
          <w:sz w:val="24"/>
          <w:szCs w:val="28"/>
        </w:rPr>
      </w:pPr>
      <w:r>
        <w:rPr>
          <w:rFonts w:hint="eastAsia" w:ascii="宋体" w:hAnsi="宋体"/>
          <w:sz w:val="24"/>
          <w:szCs w:val="28"/>
        </w:rPr>
        <w:t>4、上述报价住宅部分包含公共照明、消防设施、绿化养护、景观水系、监控系统、单元门禁及其它设施日常维修保养费和日常运行公摊水电费，电梯电费、间接供水电费，按照地方物价主管部门指导价预收取，执行公示原则。</w:t>
      </w:r>
    </w:p>
    <w:p>
      <w:pPr>
        <w:spacing w:line="360" w:lineRule="auto"/>
        <w:ind w:firstLine="480" w:firstLineChars="200"/>
        <w:rPr>
          <w:rFonts w:hint="eastAsia" w:ascii="宋体" w:hAnsi="宋体"/>
          <w:color w:val="000000"/>
          <w:sz w:val="24"/>
          <w:szCs w:val="28"/>
          <w:highlight w:val="none"/>
        </w:rPr>
      </w:pPr>
      <w:r>
        <w:rPr>
          <w:rFonts w:hint="eastAsia" w:ascii="宋体" w:hAnsi="宋体"/>
          <w:color w:val="000000"/>
          <w:sz w:val="24"/>
          <w:szCs w:val="28"/>
          <w:highlight w:val="none"/>
        </w:rPr>
        <w:t>5、一年度概算：</w:t>
      </w:r>
      <w:r>
        <w:rPr>
          <w:rFonts w:hint="eastAsia" w:ascii="宋体" w:hAnsi="宋体"/>
          <w:color w:val="000000"/>
          <w:sz w:val="24"/>
          <w:szCs w:val="28"/>
          <w:highlight w:val="none"/>
          <w:lang w:val="en-US" w:eastAsia="zh-CN"/>
        </w:rPr>
        <w:t>220万</w:t>
      </w:r>
      <w:r>
        <w:rPr>
          <w:rFonts w:hint="eastAsia" w:ascii="宋体" w:hAnsi="宋体"/>
          <w:color w:val="000000"/>
          <w:sz w:val="24"/>
          <w:szCs w:val="28"/>
          <w:highlight w:val="none"/>
        </w:rPr>
        <w:t>元左右；</w:t>
      </w:r>
    </w:p>
    <w:p>
      <w:pPr>
        <w:spacing w:line="360" w:lineRule="auto"/>
        <w:ind w:firstLine="480" w:firstLineChars="200"/>
        <w:rPr>
          <w:rFonts w:hint="eastAsia" w:ascii="宋体" w:hAnsi="宋体"/>
          <w:sz w:val="24"/>
          <w:szCs w:val="28"/>
        </w:rPr>
      </w:pPr>
      <w:r>
        <w:rPr>
          <w:rFonts w:hint="eastAsia" w:ascii="宋体" w:hAnsi="宋体"/>
          <w:sz w:val="24"/>
          <w:szCs w:val="28"/>
        </w:rPr>
        <w:t>6、物业管理岗位人员配置不得低于标准要求。各岗位人员工资不得低于同行业较高水平。各上岗人员物业管理公司必须按照劳动法所规定内容签订合同，并按照政府相关部门规定购买社会保险；</w:t>
      </w:r>
    </w:p>
    <w:p>
      <w:pPr>
        <w:spacing w:line="360" w:lineRule="auto"/>
        <w:ind w:firstLine="480" w:firstLineChars="200"/>
        <w:rPr>
          <w:rFonts w:hint="eastAsia" w:ascii="宋体" w:hAnsi="宋体"/>
          <w:sz w:val="24"/>
          <w:szCs w:val="28"/>
        </w:rPr>
      </w:pPr>
      <w:r>
        <w:rPr>
          <w:rFonts w:hint="eastAsia" w:ascii="宋体" w:hAnsi="宋体"/>
          <w:sz w:val="24"/>
          <w:szCs w:val="28"/>
        </w:rPr>
        <w:t>7、为了保障小区物业服务品质，物业公司人力资源及管理费用应满足招标要求，相关人员提供学历证明复印件、从业资格证书，并承诺合同期内按时保质进驻小区进行服务工作。</w:t>
      </w:r>
    </w:p>
    <w:p>
      <w:pPr>
        <w:autoSpaceDE w:val="0"/>
        <w:autoSpaceDN w:val="0"/>
        <w:adjustRightInd w:val="0"/>
        <w:spacing w:line="360" w:lineRule="auto"/>
        <w:jc w:val="left"/>
        <w:rPr>
          <w:rFonts w:hint="eastAsia" w:ascii="宋体" w:hAnsi="宋体"/>
          <w:b/>
          <w:sz w:val="24"/>
          <w:szCs w:val="18"/>
        </w:rPr>
      </w:pPr>
      <w:r>
        <w:rPr>
          <w:rFonts w:hint="eastAsia" w:ascii="宋体" w:hAnsi="宋体"/>
          <w:b/>
          <w:sz w:val="24"/>
          <w:szCs w:val="18"/>
        </w:rPr>
        <w:t>五、服务合同的签订说明</w:t>
      </w:r>
    </w:p>
    <w:p>
      <w:pPr>
        <w:spacing w:line="360" w:lineRule="auto"/>
        <w:ind w:firstLine="480" w:firstLineChars="200"/>
        <w:rPr>
          <w:rFonts w:ascii="宋体" w:hAnsi="宋体"/>
          <w:sz w:val="24"/>
          <w:szCs w:val="28"/>
        </w:rPr>
      </w:pPr>
      <w:r>
        <w:rPr>
          <w:rFonts w:hint="eastAsia" w:ascii="宋体" w:hAnsi="宋体"/>
          <w:color w:val="auto"/>
          <w:sz w:val="24"/>
          <w:szCs w:val="28"/>
          <w:highlight w:val="none"/>
        </w:rPr>
        <w:t>1、物业服务合同期限</w:t>
      </w:r>
      <w:r>
        <w:rPr>
          <w:rFonts w:hint="eastAsia" w:ascii="宋体" w:hAnsi="宋体"/>
          <w:color w:val="auto"/>
          <w:sz w:val="24"/>
          <w:szCs w:val="28"/>
          <w:highlight w:val="none"/>
          <w:lang w:eastAsia="zh-CN"/>
        </w:rPr>
        <w:t>五</w:t>
      </w:r>
      <w:r>
        <w:rPr>
          <w:rFonts w:hint="eastAsia" w:ascii="宋体" w:hAnsi="宋体"/>
          <w:color w:val="auto"/>
          <w:sz w:val="24"/>
          <w:szCs w:val="28"/>
          <w:highlight w:val="none"/>
        </w:rPr>
        <w:t>年</w:t>
      </w:r>
      <w:r>
        <w:rPr>
          <w:rFonts w:hint="eastAsia" w:ascii="宋体" w:hAnsi="宋体"/>
          <w:color w:val="C00000"/>
          <w:sz w:val="24"/>
          <w:szCs w:val="28"/>
          <w:highlight w:val="none"/>
        </w:rPr>
        <w:t>；</w:t>
      </w:r>
      <w:r>
        <w:rPr>
          <w:rFonts w:hint="eastAsia" w:ascii="宋体" w:hAnsi="宋体"/>
          <w:sz w:val="24"/>
          <w:szCs w:val="28"/>
        </w:rPr>
        <w:t>若合同期满甲乙双方无异议，则合同顺延。期间业主委员会成立，则由业委会选聘物业服务单位后，甲乙双方即为合同自行终止。</w:t>
      </w:r>
    </w:p>
    <w:p>
      <w:pPr>
        <w:spacing w:line="360" w:lineRule="auto"/>
        <w:ind w:firstLine="480" w:firstLineChars="200"/>
        <w:rPr>
          <w:rFonts w:hint="eastAsia" w:ascii="宋体" w:hAnsi="宋体"/>
          <w:sz w:val="24"/>
          <w:szCs w:val="28"/>
        </w:rPr>
      </w:pPr>
      <w:r>
        <w:rPr>
          <w:rFonts w:hint="eastAsia" w:ascii="宋体" w:hAnsi="宋体"/>
          <w:sz w:val="24"/>
          <w:szCs w:val="28"/>
        </w:rPr>
        <w:t>2、如中标单位物业管理服务标准、人员配备数量、任职要求等低于本招标方案规定，工资水平低于同类型项目工资标准，造成服务不达标，业主投诉达5%，甲方根据约定处理，造成的影响和损失由中标人承担。</w:t>
      </w:r>
    </w:p>
    <w:p>
      <w:pPr>
        <w:spacing w:line="360" w:lineRule="auto"/>
        <w:ind w:firstLine="480" w:firstLineChars="200"/>
        <w:rPr>
          <w:rFonts w:hint="eastAsia" w:ascii="宋体" w:hAnsi="宋体"/>
          <w:sz w:val="24"/>
          <w:szCs w:val="28"/>
        </w:rPr>
      </w:pPr>
      <w:r>
        <w:rPr>
          <w:rFonts w:hint="eastAsia" w:ascii="宋体" w:hAnsi="宋体"/>
          <w:sz w:val="24"/>
          <w:szCs w:val="28"/>
        </w:rPr>
        <w:t>3、甲方房屋交付前30日乙方需安排所有管理人员进场和一线作业人员进场，认真做好准备迎接业主入住工作；</w:t>
      </w:r>
    </w:p>
    <w:p>
      <w:pPr>
        <w:spacing w:line="360" w:lineRule="auto"/>
        <w:ind w:firstLine="480" w:firstLineChars="200"/>
        <w:rPr>
          <w:rFonts w:hint="eastAsia" w:ascii="宋体" w:hAnsi="宋体" w:eastAsia="宋体"/>
          <w:sz w:val="24"/>
          <w:szCs w:val="28"/>
          <w:lang w:val="en-US" w:eastAsia="zh-CN"/>
        </w:rPr>
      </w:pPr>
      <w:r>
        <w:rPr>
          <w:rFonts w:hint="eastAsia" w:ascii="宋体" w:hAnsi="宋体"/>
          <w:sz w:val="24"/>
          <w:szCs w:val="28"/>
        </w:rPr>
        <w:t>4、住宅物业管理服务费用按照产权登记面积计算；小区车辆停放服务收费标准参照桐城市发改委和桐城市住建局制定桐发改价（2021）190号关于印发《桐城市住宅小区物业服务收费管理办法》的文件A级服务标准执行</w:t>
      </w:r>
      <w:r>
        <w:rPr>
          <w:rFonts w:hint="eastAsia" w:ascii="宋体" w:hAnsi="宋体"/>
          <w:sz w:val="24"/>
          <w:szCs w:val="28"/>
          <w:lang w:val="en-US" w:eastAsia="zh-CN"/>
        </w:rPr>
        <w:t>.</w:t>
      </w:r>
    </w:p>
    <w:p>
      <w:pPr>
        <w:spacing w:line="360" w:lineRule="auto"/>
        <w:ind w:firstLine="480" w:firstLineChars="200"/>
        <w:rPr>
          <w:rFonts w:hint="eastAsia" w:ascii="宋体" w:hAnsi="宋体"/>
          <w:sz w:val="24"/>
          <w:szCs w:val="28"/>
        </w:rPr>
      </w:pPr>
      <w:r>
        <w:rPr>
          <w:rFonts w:hint="eastAsia" w:ascii="宋体" w:hAnsi="宋体"/>
          <w:sz w:val="24"/>
          <w:szCs w:val="28"/>
        </w:rPr>
        <w:t>7、乙方应保证依据有关规定进行账务公开；</w:t>
      </w:r>
    </w:p>
    <w:p>
      <w:pPr>
        <w:spacing w:line="360" w:lineRule="auto"/>
        <w:ind w:firstLine="480" w:firstLineChars="200"/>
        <w:rPr>
          <w:rFonts w:hint="eastAsia" w:ascii="宋体" w:hAnsi="宋体"/>
          <w:sz w:val="24"/>
          <w:szCs w:val="28"/>
        </w:rPr>
      </w:pPr>
      <w:r>
        <w:rPr>
          <w:rFonts w:hint="eastAsia" w:ascii="宋体" w:hAnsi="宋体"/>
          <w:sz w:val="24"/>
          <w:szCs w:val="28"/>
        </w:rPr>
        <w:t>8、中标公布之日起30日内签约，否则视为违约。</w:t>
      </w:r>
    </w:p>
    <w:p>
      <w:pPr>
        <w:autoSpaceDE w:val="0"/>
        <w:autoSpaceDN w:val="0"/>
        <w:adjustRightInd w:val="0"/>
        <w:spacing w:line="360" w:lineRule="auto"/>
        <w:jc w:val="left"/>
        <w:rPr>
          <w:rFonts w:hint="eastAsia" w:ascii="宋体" w:hAnsi="宋体"/>
          <w:b/>
          <w:sz w:val="24"/>
          <w:szCs w:val="18"/>
        </w:rPr>
      </w:pPr>
      <w:r>
        <w:rPr>
          <w:rFonts w:hint="eastAsia" w:ascii="宋体" w:hAnsi="宋体"/>
          <w:b/>
          <w:sz w:val="24"/>
          <w:szCs w:val="18"/>
        </w:rPr>
        <w:t>六、评标办法：</w:t>
      </w:r>
    </w:p>
    <w:p>
      <w:pPr>
        <w:spacing w:line="360" w:lineRule="auto"/>
        <w:ind w:firstLine="480" w:firstLineChars="200"/>
        <w:rPr>
          <w:rFonts w:hint="eastAsia" w:ascii="宋体" w:hAnsi="宋体"/>
          <w:sz w:val="24"/>
          <w:szCs w:val="28"/>
        </w:rPr>
      </w:pPr>
      <w:r>
        <w:rPr>
          <w:rFonts w:hint="eastAsia" w:ascii="宋体" w:hAnsi="宋体"/>
          <w:sz w:val="24"/>
          <w:szCs w:val="28"/>
        </w:rPr>
        <w:t>本次项目评标采用综合评分法。</w:t>
      </w:r>
    </w:p>
    <w:p>
      <w:pPr>
        <w:spacing w:line="360" w:lineRule="auto"/>
        <w:rPr>
          <w:rFonts w:hint="eastAsia" w:ascii="宋体" w:hAnsi="宋体"/>
          <w:b w:val="0"/>
          <w:bCs w:val="0"/>
          <w:kern w:val="0"/>
          <w:sz w:val="24"/>
        </w:rPr>
      </w:pPr>
      <w:r>
        <w:rPr>
          <w:rFonts w:hint="eastAsia" w:ascii="宋体" w:hAnsi="宋体"/>
          <w:b w:val="0"/>
          <w:bCs w:val="0"/>
          <w:kern w:val="0"/>
          <w:sz w:val="24"/>
          <w:szCs w:val="24"/>
        </w:rPr>
        <w:t>七、费用测算要求：</w:t>
      </w:r>
    </w:p>
    <w:p>
      <w:pPr>
        <w:spacing w:line="360" w:lineRule="auto"/>
        <w:rPr>
          <w:rFonts w:hint="eastAsia" w:ascii="宋体" w:hAnsi="宋体"/>
          <w:b w:val="0"/>
          <w:bCs w:val="0"/>
          <w:kern w:val="0"/>
          <w:sz w:val="24"/>
        </w:rPr>
      </w:pPr>
      <w:r>
        <w:rPr>
          <w:rFonts w:hint="eastAsia" w:ascii="宋体" w:hAnsi="宋体"/>
          <w:b w:val="0"/>
          <w:bCs w:val="0"/>
          <w:kern w:val="0"/>
          <w:sz w:val="24"/>
        </w:rPr>
        <w:t>1、请投标人自行核算费用，人员工资不低于桐城市最低工资标准1430元，根据桐城市五险相关标准规定，社保最低缴费基数为3429.11元，单位缴费比例为23.7%须承担社保等五险费用812.70元/人/月，个人缴费比例为10.5%须承担社保等五险费用360.06元/人/月，人员工资及社保等五险费用低于上述标准的，视作该投标为无效投标。</w:t>
      </w:r>
    </w:p>
    <w:p>
      <w:pPr>
        <w:spacing w:line="360" w:lineRule="auto"/>
        <w:rPr>
          <w:rFonts w:hint="eastAsia" w:ascii="宋体" w:hAnsi="宋体"/>
          <w:kern w:val="0"/>
          <w:sz w:val="24"/>
        </w:rPr>
      </w:pPr>
      <w:r>
        <w:rPr>
          <w:rFonts w:hint="eastAsia" w:ascii="宋体" w:hAnsi="宋体"/>
          <w:kern w:val="0"/>
          <w:sz w:val="24"/>
        </w:rPr>
        <w:t>2、“投标报价表”中政策性费用及规定费用不接受赠送及优惠，“投标报价表”中其他项，作为可竞争费用，可由投标人自行报价。</w:t>
      </w:r>
    </w:p>
    <w:p>
      <w:pPr>
        <w:spacing w:line="360" w:lineRule="auto"/>
        <w:rPr>
          <w:rFonts w:hint="eastAsia" w:ascii="宋体" w:hAnsi="宋体"/>
          <w:kern w:val="0"/>
          <w:sz w:val="24"/>
          <w:szCs w:val="24"/>
        </w:rPr>
      </w:pPr>
      <w:r>
        <w:rPr>
          <w:rFonts w:hint="eastAsia" w:ascii="宋体" w:hAnsi="宋体"/>
          <w:kern w:val="0"/>
          <w:sz w:val="24"/>
          <w:szCs w:val="24"/>
        </w:rPr>
        <w:t>3、中标人应按桐城市行业主管部门的规定办理相关手续(如备案等)。</w:t>
      </w:r>
    </w:p>
    <w:p>
      <w:pPr>
        <w:spacing w:line="360" w:lineRule="auto"/>
        <w:rPr>
          <w:rFonts w:hint="eastAsia" w:ascii="宋体" w:hAnsi="宋体" w:eastAsia="宋体"/>
          <w:kern w:val="0"/>
          <w:sz w:val="24"/>
          <w:szCs w:val="24"/>
          <w:lang w:val="en-US" w:eastAsia="zh-CN"/>
        </w:rPr>
      </w:pPr>
      <w:r>
        <w:rPr>
          <w:rFonts w:hint="eastAsia" w:ascii="宋体" w:hAnsi="宋体"/>
          <w:kern w:val="0"/>
          <w:sz w:val="24"/>
          <w:szCs w:val="24"/>
        </w:rPr>
        <w:t>4、其他未尽事宜，参照桐城市发改委和桐城市住建局制定桐发改价（2021）190号关于印发《桐城市住宅小区物业服务收费管理办法》的文件A级服务标准执行</w:t>
      </w:r>
      <w:r>
        <w:rPr>
          <w:rFonts w:hint="eastAsia" w:ascii="宋体" w:hAnsi="宋体"/>
          <w:kern w:val="0"/>
          <w:sz w:val="24"/>
          <w:szCs w:val="24"/>
          <w:lang w:val="en-US" w:eastAsia="zh-CN"/>
        </w:rPr>
        <w:t>.</w:t>
      </w:r>
    </w:p>
    <w:p>
      <w:pPr>
        <w:spacing w:line="360" w:lineRule="auto"/>
        <w:ind w:firstLine="482" w:firstLineChars="200"/>
        <w:rPr>
          <w:rFonts w:hint="eastAsia" w:ascii="宋体" w:hAnsi="宋体"/>
          <w:b/>
          <w:sz w:val="24"/>
          <w:szCs w:val="28"/>
        </w:rPr>
      </w:pPr>
      <w:r>
        <w:rPr>
          <w:rFonts w:hint="eastAsia" w:ascii="宋体" w:hAnsi="宋体"/>
          <w:b/>
          <w:sz w:val="24"/>
          <w:szCs w:val="28"/>
        </w:rPr>
        <w:t>八、关于招标的有关说明</w:t>
      </w:r>
    </w:p>
    <w:p>
      <w:pPr>
        <w:spacing w:line="360" w:lineRule="auto"/>
        <w:ind w:firstLine="480" w:firstLineChars="200"/>
        <w:rPr>
          <w:rFonts w:hint="eastAsia" w:ascii="宋体" w:hAnsi="宋体"/>
          <w:sz w:val="24"/>
          <w:szCs w:val="24"/>
          <w:highlight w:val="none"/>
        </w:rPr>
      </w:pPr>
      <w:r>
        <w:rPr>
          <w:rFonts w:hint="eastAsia" w:ascii="宋体" w:hAnsi="宋体"/>
          <w:sz w:val="24"/>
          <w:szCs w:val="24"/>
        </w:rPr>
        <w:t>1、</w:t>
      </w:r>
      <w:r>
        <w:rPr>
          <w:rFonts w:hint="eastAsia" w:ascii="宋体" w:hAnsi="宋体"/>
          <w:sz w:val="24"/>
          <w:szCs w:val="24"/>
          <w:highlight w:val="none"/>
        </w:rPr>
        <w:t>如中标人服务标准和人员配置要求不符合招标文件及合同要求，采购人可按合同约定解除合同。</w:t>
      </w:r>
    </w:p>
    <w:p>
      <w:pPr>
        <w:spacing w:line="360" w:lineRule="auto"/>
        <w:ind w:firstLine="480" w:firstLineChars="200"/>
        <w:rPr>
          <w:rFonts w:hint="eastAsia" w:ascii="宋体" w:hAnsi="宋体"/>
          <w:sz w:val="24"/>
          <w:szCs w:val="24"/>
        </w:rPr>
      </w:pPr>
      <w:r>
        <w:rPr>
          <w:rFonts w:hint="eastAsia" w:ascii="宋体" w:hAnsi="宋体"/>
          <w:sz w:val="24"/>
          <w:szCs w:val="24"/>
          <w:lang w:val="en-US" w:eastAsia="zh-CN"/>
        </w:rPr>
        <w:t>2</w:t>
      </w:r>
      <w:r>
        <w:rPr>
          <w:rFonts w:hint="eastAsia" w:ascii="宋体" w:hAnsi="宋体"/>
          <w:sz w:val="24"/>
          <w:szCs w:val="24"/>
        </w:rPr>
        <w:t>、相关证明材料采购人有权在签订合同前核查。中标人须保证按照投标文件承诺的拟任人员配置，为本项目服务，否则采购人有权拒签合同。</w:t>
      </w:r>
    </w:p>
    <w:p>
      <w:pPr>
        <w:spacing w:line="360" w:lineRule="auto"/>
        <w:ind w:firstLine="480" w:firstLineChars="200"/>
        <w:rPr>
          <w:rFonts w:ascii="宋体" w:hAnsi="宋体"/>
          <w:sz w:val="24"/>
          <w:szCs w:val="24"/>
        </w:rPr>
      </w:pPr>
      <w:r>
        <w:rPr>
          <w:rFonts w:hint="eastAsia" w:ascii="宋体" w:hAnsi="宋体"/>
          <w:sz w:val="24"/>
          <w:szCs w:val="24"/>
          <w:lang w:val="en-US" w:eastAsia="zh-CN"/>
        </w:rPr>
        <w:t>3</w:t>
      </w:r>
      <w:r>
        <w:rPr>
          <w:rFonts w:hint="eastAsia" w:ascii="宋体" w:hAnsi="宋体"/>
          <w:sz w:val="24"/>
          <w:szCs w:val="24"/>
        </w:rPr>
        <w:t>、本项目采购人按照行业规定提供开办费，中标人不得以任何理由增加此项费用。</w:t>
      </w:r>
    </w:p>
    <w:p>
      <w:pPr>
        <w:spacing w:line="360" w:lineRule="auto"/>
        <w:ind w:firstLine="480" w:firstLineChars="200"/>
        <w:rPr>
          <w:rFonts w:hint="eastAsia" w:ascii="宋体" w:hAnsi="宋体"/>
          <w:sz w:val="24"/>
          <w:szCs w:val="24"/>
        </w:rPr>
      </w:pPr>
      <w:r>
        <w:rPr>
          <w:rFonts w:hint="eastAsia" w:ascii="宋体" w:hAnsi="宋体"/>
          <w:sz w:val="24"/>
          <w:szCs w:val="24"/>
          <w:lang w:val="en-US" w:eastAsia="zh-CN"/>
        </w:rPr>
        <w:t>4</w:t>
      </w:r>
      <w:r>
        <w:rPr>
          <w:rFonts w:hint="eastAsia" w:ascii="宋体" w:hAnsi="宋体"/>
          <w:sz w:val="24"/>
          <w:szCs w:val="24"/>
        </w:rPr>
        <w:t>、一旦参与投标，视为投标人完全同意本招标文件所有条款规定的内容（包括合同主要条款的内容），本招标文件中关于中标人应享受的权利和应履行的义务均可以写入采购人与中标人签订的合同中。</w:t>
      </w:r>
    </w:p>
    <w:p>
      <w:pPr>
        <w:spacing w:line="360" w:lineRule="auto"/>
        <w:ind w:firstLine="480" w:firstLineChars="200"/>
        <w:rPr>
          <w:rFonts w:hint="eastAsia" w:ascii="宋体" w:hAnsi="宋体"/>
          <w:sz w:val="24"/>
          <w:szCs w:val="24"/>
        </w:rPr>
      </w:pPr>
      <w:r>
        <w:rPr>
          <w:rFonts w:hint="eastAsia" w:ascii="宋体" w:hAnsi="宋体"/>
          <w:sz w:val="24"/>
          <w:szCs w:val="24"/>
          <w:lang w:val="en-US" w:eastAsia="zh-CN"/>
        </w:rPr>
        <w:t>5</w:t>
      </w:r>
      <w:r>
        <w:rPr>
          <w:rFonts w:hint="eastAsia" w:ascii="宋体" w:hAnsi="宋体"/>
          <w:sz w:val="24"/>
          <w:szCs w:val="24"/>
        </w:rPr>
        <w:t>、 中标人应保证依据有关规定实行账务公开。</w:t>
      </w:r>
    </w:p>
    <w:p>
      <w:pPr>
        <w:spacing w:line="360" w:lineRule="auto"/>
        <w:ind w:firstLine="480" w:firstLineChars="200"/>
        <w:rPr>
          <w:rFonts w:hint="eastAsia" w:ascii="宋体" w:hAnsi="宋体"/>
          <w:sz w:val="24"/>
          <w:szCs w:val="24"/>
        </w:rPr>
      </w:pPr>
      <w:r>
        <w:rPr>
          <w:rFonts w:hint="eastAsia" w:ascii="宋体" w:hAnsi="宋体"/>
          <w:sz w:val="24"/>
          <w:szCs w:val="24"/>
        </w:rPr>
        <w:t>10、中标公布之日起30日内签约，否则视为违约。</w:t>
      </w:r>
    </w:p>
    <w:p>
      <w:pPr>
        <w:spacing w:line="360" w:lineRule="auto"/>
        <w:ind w:firstLine="480" w:firstLineChars="200"/>
        <w:rPr>
          <w:rFonts w:hint="eastAsia" w:ascii="宋体" w:hAnsi="宋体"/>
          <w:sz w:val="24"/>
          <w:szCs w:val="24"/>
        </w:rPr>
      </w:pPr>
      <w:r>
        <w:rPr>
          <w:rFonts w:hint="eastAsia" w:ascii="宋体" w:hAnsi="宋体"/>
          <w:sz w:val="24"/>
          <w:szCs w:val="24"/>
        </w:rPr>
        <w:t>11、采购人与中标人必须严格按照招标文件、投标文件及有关承诺签订采购合同，不得擅自变更。</w:t>
      </w:r>
    </w:p>
    <w:p>
      <w:pPr>
        <w:spacing w:line="360" w:lineRule="auto"/>
        <w:ind w:firstLine="480" w:firstLineChars="200"/>
        <w:rPr>
          <w:rFonts w:hint="eastAsia" w:ascii="宋体" w:hAnsi="宋体"/>
          <w:sz w:val="24"/>
          <w:szCs w:val="24"/>
        </w:rPr>
      </w:pPr>
      <w:r>
        <w:rPr>
          <w:rFonts w:hint="eastAsia" w:ascii="宋体" w:hAnsi="宋体"/>
          <w:sz w:val="24"/>
          <w:szCs w:val="24"/>
        </w:rPr>
        <w:t>12、</w:t>
      </w:r>
      <w:r>
        <w:rPr>
          <w:rFonts w:hint="eastAsia" w:ascii="宋体" w:hAnsi="宋体"/>
          <w:color w:val="C00000"/>
          <w:sz w:val="24"/>
          <w:szCs w:val="24"/>
        </w:rPr>
        <w:t xml:space="preserve">  </w:t>
      </w:r>
      <w:r>
        <w:rPr>
          <w:rFonts w:hint="eastAsia" w:ascii="宋体" w:hAnsi="宋体"/>
          <w:sz w:val="24"/>
          <w:szCs w:val="24"/>
        </w:rPr>
        <w:t xml:space="preserve"> 如中标人达不到《物业服务合同》</w:t>
      </w:r>
      <w:r>
        <w:rPr>
          <w:rFonts w:hint="eastAsia" w:ascii="宋体" w:hAnsi="宋体"/>
          <w:sz w:val="24"/>
          <w:szCs w:val="24"/>
          <w:lang w:val="en-US" w:eastAsia="zh-CN"/>
        </w:rPr>
        <w:t>约</w:t>
      </w:r>
      <w:r>
        <w:rPr>
          <w:rFonts w:hint="eastAsia" w:ascii="宋体" w:hAnsi="宋体"/>
          <w:sz w:val="24"/>
          <w:szCs w:val="24"/>
        </w:rPr>
        <w:t xml:space="preserve">定的服务标准，招标人将有权终止合同。   </w:t>
      </w:r>
    </w:p>
    <w:p>
      <w:pPr>
        <w:pStyle w:val="4"/>
        <w:spacing w:line="500" w:lineRule="exact"/>
        <w:ind w:firstLine="0"/>
        <w:rPr>
          <w:rFonts w:hint="eastAsia" w:ascii="宋体" w:hAnsi="宋体" w:eastAsia="宋体"/>
        </w:rPr>
      </w:pPr>
      <w:r>
        <w:rPr>
          <w:rFonts w:hint="eastAsia" w:ascii="宋体" w:hAnsi="宋体" w:eastAsia="宋体"/>
        </w:rPr>
        <w:br w:type="page"/>
      </w:r>
      <w:r>
        <w:rPr>
          <w:rFonts w:hint="eastAsia" w:ascii="宋体" w:hAnsi="宋体" w:eastAsia="宋体"/>
        </w:rPr>
        <w:t>第</w:t>
      </w:r>
      <w:bookmarkStart w:id="14" w:name="_Hlt240110027"/>
      <w:bookmarkEnd w:id="14"/>
      <w:r>
        <w:rPr>
          <w:rFonts w:hint="eastAsia" w:ascii="宋体" w:hAnsi="宋体" w:eastAsia="宋体"/>
        </w:rPr>
        <w:t>四章 评标办法</w:t>
      </w:r>
    </w:p>
    <w:p>
      <w:pPr>
        <w:tabs>
          <w:tab w:val="left" w:pos="360"/>
          <w:tab w:val="left" w:pos="540"/>
          <w:tab w:val="left" w:pos="3600"/>
          <w:tab w:val="left" w:pos="3780"/>
          <w:tab w:val="left" w:pos="8460"/>
          <w:tab w:val="left" w:pos="9180"/>
        </w:tabs>
        <w:adjustRightInd w:val="0"/>
        <w:snapToGrid w:val="0"/>
        <w:spacing w:line="360" w:lineRule="auto"/>
        <w:ind w:right="-21" w:rightChars="-10" w:firstLine="361" w:firstLineChars="150"/>
        <w:jc w:val="center"/>
        <w:rPr>
          <w:rFonts w:hint="eastAsia" w:ascii="宋体" w:hAnsi="宋体"/>
          <w:b/>
          <w:sz w:val="24"/>
        </w:rPr>
      </w:pPr>
      <w:r>
        <w:rPr>
          <w:rFonts w:hint="eastAsia" w:ascii="宋体" w:hAnsi="宋体"/>
          <w:b/>
          <w:sz w:val="24"/>
        </w:rPr>
        <w:t>一．总  则</w:t>
      </w:r>
    </w:p>
    <w:p>
      <w:pPr>
        <w:adjustRightInd w:val="0"/>
        <w:snapToGrid w:val="0"/>
        <w:spacing w:line="360" w:lineRule="auto"/>
        <w:ind w:right="-10" w:firstLine="422" w:firstLineChars="175"/>
        <w:rPr>
          <w:rFonts w:hint="eastAsia" w:ascii="宋体" w:hAnsi="宋体"/>
          <w:sz w:val="24"/>
        </w:rPr>
      </w:pPr>
      <w:r>
        <w:rPr>
          <w:rFonts w:hint="eastAsia" w:ascii="宋体" w:hAnsi="宋体"/>
          <w:b/>
          <w:sz w:val="24"/>
        </w:rPr>
        <w:t xml:space="preserve">第一条 </w:t>
      </w:r>
      <w:r>
        <w:rPr>
          <w:rFonts w:hint="eastAsia" w:ascii="宋体" w:hAnsi="宋体"/>
          <w:sz w:val="24"/>
        </w:rPr>
        <w:t>为了做好</w:t>
      </w:r>
      <w:r>
        <w:rPr>
          <w:rFonts w:hint="eastAsia" w:ascii="宋体" w:hAnsi="宋体"/>
          <w:bCs/>
          <w:sz w:val="24"/>
          <w:szCs w:val="18"/>
        </w:rPr>
        <w:t>桐城市</w:t>
      </w:r>
      <w:r>
        <w:rPr>
          <w:rFonts w:hint="eastAsia" w:ascii="宋体" w:hAnsi="宋体"/>
          <w:sz w:val="24"/>
        </w:rPr>
        <w:t>服务项目的招标评标工作，保证项目评审工作的正常有序进行，维护招标人、投标人的合法权益，依据《中华人民共和国招标投标法》、《中华人民共和国招标投标法实施条例》及其它相关法律法规，本着公开、公平、公正的原则，制定评标办法。</w:t>
      </w:r>
    </w:p>
    <w:p>
      <w:pPr>
        <w:adjustRightInd w:val="0"/>
        <w:snapToGrid w:val="0"/>
        <w:spacing w:line="360" w:lineRule="auto"/>
        <w:ind w:right="-10" w:firstLine="422" w:firstLineChars="175"/>
        <w:rPr>
          <w:rFonts w:hint="eastAsia" w:ascii="宋体" w:hAnsi="宋体"/>
          <w:sz w:val="24"/>
        </w:rPr>
      </w:pPr>
      <w:r>
        <w:rPr>
          <w:rFonts w:hint="eastAsia" w:ascii="宋体" w:hAnsi="宋体"/>
          <w:b/>
          <w:bCs/>
          <w:sz w:val="24"/>
        </w:rPr>
        <w:t xml:space="preserve">第二条 </w:t>
      </w:r>
      <w:r>
        <w:rPr>
          <w:rFonts w:hint="eastAsia" w:ascii="宋体" w:hAnsi="宋体"/>
          <w:sz w:val="24"/>
        </w:rPr>
        <w:t>本次项目评标采用综合评分法作为对投标人标书的比较方法。</w:t>
      </w:r>
    </w:p>
    <w:p>
      <w:pPr>
        <w:adjustRightInd w:val="0"/>
        <w:snapToGrid w:val="0"/>
        <w:spacing w:line="360" w:lineRule="auto"/>
        <w:ind w:left="-61" w:leftChars="-29" w:right="-10" w:firstLine="482" w:firstLineChars="200"/>
        <w:rPr>
          <w:rFonts w:hint="eastAsia" w:ascii="宋体" w:hAnsi="宋体"/>
          <w:sz w:val="24"/>
        </w:rPr>
      </w:pPr>
      <w:r>
        <w:rPr>
          <w:rFonts w:hint="eastAsia" w:ascii="宋体" w:hAnsi="宋体"/>
          <w:b/>
          <w:sz w:val="24"/>
        </w:rPr>
        <w:t xml:space="preserve">第三条 </w:t>
      </w:r>
      <w:r>
        <w:rPr>
          <w:rFonts w:hint="eastAsia" w:ascii="宋体" w:hAnsi="宋体"/>
          <w:bCs/>
          <w:sz w:val="24"/>
          <w:lang w:val="en-US" w:eastAsia="zh-CN"/>
        </w:rPr>
        <w:t>物业主</w:t>
      </w:r>
      <w:r>
        <w:rPr>
          <w:rFonts w:hint="eastAsia" w:ascii="宋体" w:hAnsi="宋体"/>
          <w:sz w:val="24"/>
        </w:rPr>
        <w:t>管部门</w:t>
      </w:r>
      <w:r>
        <w:rPr>
          <w:rFonts w:hint="eastAsia" w:ascii="宋体" w:hAnsi="宋体"/>
          <w:bCs/>
          <w:sz w:val="24"/>
        </w:rPr>
        <w:t>负责抽取组织</w:t>
      </w:r>
      <w:r>
        <w:rPr>
          <w:rFonts w:hint="eastAsia" w:ascii="宋体" w:hAnsi="宋体"/>
          <w:bCs/>
          <w:sz w:val="24"/>
          <w:u w:val="single"/>
        </w:rPr>
        <w:t xml:space="preserve"> 5</w:t>
      </w:r>
      <w:r>
        <w:rPr>
          <w:rFonts w:hint="eastAsia" w:ascii="宋体" w:hAnsi="宋体"/>
          <w:b/>
          <w:sz w:val="24"/>
          <w:u w:val="single"/>
        </w:rPr>
        <w:t xml:space="preserve"> </w:t>
      </w:r>
      <w:r>
        <w:rPr>
          <w:rFonts w:hint="eastAsia" w:ascii="宋体" w:hAnsi="宋体"/>
          <w:sz w:val="24"/>
        </w:rPr>
        <w:t>人组成的评标委员会（以下简称评委会），负责本项目的评标工作。</w:t>
      </w:r>
    </w:p>
    <w:p>
      <w:pPr>
        <w:adjustRightInd w:val="0"/>
        <w:snapToGrid w:val="0"/>
        <w:spacing w:line="360" w:lineRule="auto"/>
        <w:ind w:right="-10" w:firstLine="482" w:firstLineChars="200"/>
        <w:rPr>
          <w:rFonts w:hint="eastAsia" w:ascii="宋体" w:hAnsi="宋体"/>
          <w:sz w:val="24"/>
        </w:rPr>
      </w:pPr>
      <w:r>
        <w:rPr>
          <w:rFonts w:hint="eastAsia" w:ascii="宋体" w:hAnsi="宋体"/>
          <w:b/>
          <w:sz w:val="24"/>
        </w:rPr>
        <w:t xml:space="preserve">第四条 </w:t>
      </w:r>
      <w:r>
        <w:rPr>
          <w:rFonts w:hint="eastAsia" w:ascii="宋体" w:hAnsi="宋体"/>
          <w:sz w:val="24"/>
        </w:rPr>
        <w:t>评委会按照“客观公正，实事求是”的原则，评价参加本次招标的投标人所提供的产品或服务价格、性能、质量、服务及对招标文件的符合性及响应性。</w:t>
      </w:r>
    </w:p>
    <w:p>
      <w:pPr>
        <w:adjustRightInd w:val="0"/>
        <w:snapToGrid w:val="0"/>
        <w:spacing w:line="360" w:lineRule="auto"/>
        <w:ind w:right="-10"/>
        <w:jc w:val="center"/>
        <w:rPr>
          <w:rFonts w:hint="eastAsia" w:ascii="宋体" w:hAnsi="宋体"/>
          <w:sz w:val="24"/>
        </w:rPr>
      </w:pPr>
      <w:r>
        <w:rPr>
          <w:rFonts w:hint="eastAsia" w:ascii="宋体" w:hAnsi="宋体"/>
          <w:b/>
          <w:sz w:val="24"/>
        </w:rPr>
        <w:t>二．评标程序及评审细则</w:t>
      </w:r>
    </w:p>
    <w:p>
      <w:pPr>
        <w:adjustRightInd w:val="0"/>
        <w:snapToGrid w:val="0"/>
        <w:spacing w:line="360" w:lineRule="auto"/>
        <w:ind w:right="-10" w:firstLine="480"/>
        <w:rPr>
          <w:rFonts w:hint="eastAsia" w:ascii="宋体" w:hAnsi="宋体"/>
          <w:sz w:val="24"/>
        </w:rPr>
      </w:pPr>
      <w:r>
        <w:rPr>
          <w:rFonts w:hint="eastAsia" w:ascii="宋体" w:hAnsi="宋体"/>
          <w:b/>
          <w:sz w:val="24"/>
        </w:rPr>
        <w:t>第五条</w:t>
      </w:r>
      <w:r>
        <w:rPr>
          <w:rFonts w:hint="eastAsia" w:ascii="宋体" w:hAnsi="宋体"/>
          <w:sz w:val="24"/>
        </w:rPr>
        <w:t xml:space="preserve"> 评标工作于开标后进行。评委会应认真研究招标文件，至少应了解和熟悉以下内容：</w:t>
      </w:r>
    </w:p>
    <w:p>
      <w:pPr>
        <w:spacing w:line="360" w:lineRule="auto"/>
        <w:ind w:left="480" w:right="-10"/>
        <w:rPr>
          <w:rFonts w:hint="eastAsia" w:ascii="宋体" w:hAnsi="宋体"/>
          <w:sz w:val="24"/>
        </w:rPr>
      </w:pPr>
      <w:r>
        <w:rPr>
          <w:rFonts w:hint="eastAsia" w:ascii="宋体" w:hAnsi="宋体"/>
          <w:sz w:val="24"/>
        </w:rPr>
        <w:t>（一）招标的目标；</w:t>
      </w:r>
    </w:p>
    <w:p>
      <w:pPr>
        <w:spacing w:line="360" w:lineRule="auto"/>
        <w:ind w:left="480" w:right="-10"/>
        <w:rPr>
          <w:rFonts w:hint="eastAsia" w:ascii="宋体" w:hAnsi="宋体"/>
          <w:sz w:val="24"/>
        </w:rPr>
      </w:pPr>
      <w:r>
        <w:rPr>
          <w:rFonts w:hint="eastAsia" w:ascii="宋体" w:hAnsi="宋体"/>
          <w:sz w:val="24"/>
        </w:rPr>
        <w:t>（二）招标项目的范围和性质；</w:t>
      </w:r>
    </w:p>
    <w:p>
      <w:pPr>
        <w:spacing w:line="360" w:lineRule="auto"/>
        <w:ind w:left="480" w:right="-10"/>
        <w:rPr>
          <w:rFonts w:hint="eastAsia" w:ascii="宋体" w:hAnsi="宋体"/>
          <w:sz w:val="24"/>
        </w:rPr>
      </w:pPr>
      <w:r>
        <w:rPr>
          <w:rFonts w:hint="eastAsia" w:ascii="宋体" w:hAnsi="宋体"/>
          <w:sz w:val="24"/>
        </w:rPr>
        <w:t>（三）招标文件中规定的主要技术要求、标准和商务条款；</w:t>
      </w:r>
    </w:p>
    <w:p>
      <w:pPr>
        <w:spacing w:line="360" w:lineRule="auto"/>
        <w:ind w:left="480" w:right="-10"/>
        <w:rPr>
          <w:rFonts w:hint="eastAsia" w:ascii="宋体" w:hAnsi="宋体"/>
          <w:sz w:val="24"/>
        </w:rPr>
      </w:pPr>
      <w:r>
        <w:rPr>
          <w:rFonts w:hint="eastAsia" w:ascii="宋体" w:hAnsi="宋体"/>
          <w:sz w:val="24"/>
        </w:rPr>
        <w:t>（四）招标文件规定的评标标准、评标方法和在评标过程中考虑的相关因素。</w:t>
      </w:r>
    </w:p>
    <w:p>
      <w:pPr>
        <w:adjustRightInd w:val="0"/>
        <w:snapToGrid w:val="0"/>
        <w:spacing w:line="360" w:lineRule="auto"/>
        <w:ind w:right="-10" w:firstLine="482" w:firstLineChars="200"/>
        <w:rPr>
          <w:rFonts w:hint="eastAsia" w:ascii="宋体" w:hAnsi="宋体"/>
          <w:sz w:val="24"/>
        </w:rPr>
      </w:pPr>
      <w:r>
        <w:rPr>
          <w:rFonts w:hint="eastAsia" w:ascii="宋体" w:hAnsi="宋体"/>
          <w:b/>
          <w:sz w:val="24"/>
        </w:rPr>
        <w:t>第六条</w:t>
      </w:r>
      <w:r>
        <w:rPr>
          <w:rFonts w:hint="eastAsia" w:ascii="宋体" w:hAnsi="宋体"/>
          <w:sz w:val="24"/>
        </w:rPr>
        <w:t xml:space="preserve"> 有效投标应符合以下原则：</w:t>
      </w:r>
    </w:p>
    <w:p>
      <w:pPr>
        <w:spacing w:line="360" w:lineRule="auto"/>
        <w:ind w:left="480" w:right="-10"/>
        <w:rPr>
          <w:rFonts w:hint="eastAsia" w:ascii="宋体" w:hAnsi="宋体"/>
          <w:sz w:val="24"/>
        </w:rPr>
      </w:pPr>
      <w:r>
        <w:rPr>
          <w:rFonts w:hint="eastAsia" w:ascii="宋体" w:hAnsi="宋体"/>
          <w:sz w:val="24"/>
        </w:rPr>
        <w:t>（一）满足招标文件的实质性要求；</w:t>
      </w:r>
    </w:p>
    <w:p>
      <w:pPr>
        <w:spacing w:line="360" w:lineRule="auto"/>
        <w:ind w:left="480" w:right="-10"/>
        <w:rPr>
          <w:rFonts w:hint="eastAsia" w:ascii="宋体" w:hAnsi="宋体"/>
          <w:sz w:val="24"/>
        </w:rPr>
      </w:pPr>
      <w:r>
        <w:rPr>
          <w:rFonts w:hint="eastAsia" w:ascii="宋体" w:hAnsi="宋体"/>
          <w:sz w:val="24"/>
        </w:rPr>
        <w:t>（二）无重大偏离、保留或招标人不能接受的附加条件；</w:t>
      </w:r>
    </w:p>
    <w:p>
      <w:pPr>
        <w:spacing w:line="360" w:lineRule="auto"/>
        <w:ind w:left="480" w:right="-10"/>
        <w:rPr>
          <w:rFonts w:hint="eastAsia" w:ascii="宋体" w:hAnsi="宋体"/>
          <w:sz w:val="24"/>
        </w:rPr>
      </w:pPr>
      <w:r>
        <w:rPr>
          <w:rFonts w:hint="eastAsia" w:ascii="宋体" w:hAnsi="宋体"/>
          <w:sz w:val="24"/>
        </w:rPr>
        <w:t>（三）通过初审；</w:t>
      </w:r>
    </w:p>
    <w:p>
      <w:pPr>
        <w:adjustRightInd w:val="0"/>
        <w:snapToGrid w:val="0"/>
        <w:spacing w:line="360" w:lineRule="auto"/>
        <w:ind w:right="-10" w:firstLine="480" w:firstLineChars="200"/>
        <w:rPr>
          <w:rFonts w:hint="eastAsia" w:ascii="宋体" w:hAnsi="宋体"/>
          <w:sz w:val="24"/>
        </w:rPr>
      </w:pPr>
      <w:r>
        <w:rPr>
          <w:rFonts w:hint="eastAsia" w:ascii="宋体" w:hAnsi="宋体"/>
          <w:sz w:val="24"/>
        </w:rPr>
        <w:t>（四）评委会依据招标文件认定的其他原则。</w:t>
      </w:r>
    </w:p>
    <w:p>
      <w:pPr>
        <w:adjustRightInd w:val="0"/>
        <w:snapToGrid w:val="0"/>
        <w:spacing w:line="360" w:lineRule="auto"/>
        <w:ind w:right="-10" w:firstLine="482" w:firstLineChars="200"/>
        <w:rPr>
          <w:rFonts w:hint="eastAsia" w:ascii="宋体" w:hAnsi="宋体"/>
          <w:b/>
          <w:sz w:val="24"/>
        </w:rPr>
      </w:pPr>
      <w:r>
        <w:rPr>
          <w:rFonts w:hint="eastAsia" w:ascii="宋体" w:hAnsi="宋体"/>
          <w:b/>
          <w:sz w:val="24"/>
        </w:rPr>
        <w:t xml:space="preserve">第七条 </w:t>
      </w:r>
      <w:r>
        <w:rPr>
          <w:rFonts w:hint="eastAsia" w:ascii="宋体" w:hAnsi="宋体" w:cs="宋体-18030"/>
          <w:sz w:val="24"/>
        </w:rPr>
        <w:t>评委会遵循公开、公平、公正和科学诚信的原则，对所有投标文件均采用相同程序和标准，进行评定。</w:t>
      </w:r>
    </w:p>
    <w:p>
      <w:pPr>
        <w:ind w:firstLine="482" w:firstLineChars="200"/>
        <w:outlineLvl w:val="1"/>
        <w:rPr>
          <w:rFonts w:hint="eastAsia" w:ascii="宋体" w:hAnsi="宋体" w:cs="宋体-18030"/>
          <w:sz w:val="24"/>
        </w:rPr>
      </w:pPr>
      <w:r>
        <w:rPr>
          <w:rFonts w:hint="eastAsia" w:ascii="宋体" w:hAnsi="宋体"/>
          <w:b/>
          <w:sz w:val="24"/>
        </w:rPr>
        <w:t xml:space="preserve">第八条 </w:t>
      </w:r>
      <w:r>
        <w:rPr>
          <w:rFonts w:hint="eastAsia" w:ascii="宋体" w:hAnsi="宋体" w:cs="宋体-18030"/>
          <w:sz w:val="24"/>
        </w:rPr>
        <w:t>评审程序</w:t>
      </w:r>
    </w:p>
    <w:p>
      <w:pPr>
        <w:ind w:firstLine="480" w:firstLineChars="200"/>
        <w:outlineLvl w:val="9"/>
        <w:rPr>
          <w:rFonts w:hint="eastAsia" w:ascii="宋体" w:hAnsi="宋体" w:cs="宋体-18030"/>
          <w:sz w:val="24"/>
        </w:rPr>
      </w:pPr>
    </w:p>
    <w:p>
      <w:pPr>
        <w:ind w:firstLine="480" w:firstLineChars="200"/>
        <w:outlineLvl w:val="9"/>
        <w:rPr>
          <w:rFonts w:hint="eastAsia" w:ascii="宋体" w:hAnsi="宋体" w:cs="宋体-18030"/>
          <w:sz w:val="24"/>
        </w:rPr>
      </w:pPr>
    </w:p>
    <w:p>
      <w:pPr>
        <w:ind w:firstLine="480" w:firstLineChars="200"/>
        <w:outlineLvl w:val="1"/>
        <w:rPr>
          <w:rFonts w:hint="eastAsia" w:ascii="宋体" w:hAnsi="宋体" w:cs="宋体"/>
          <w:sz w:val="24"/>
          <w:szCs w:val="24"/>
        </w:rPr>
      </w:pPr>
      <w:r>
        <w:rPr>
          <w:rFonts w:hint="eastAsia" w:ascii="宋体" w:hAnsi="宋体" w:cs="宋体"/>
          <w:sz w:val="24"/>
          <w:szCs w:val="24"/>
        </w:rPr>
        <w:t>8.1初步评审标准</w:t>
      </w:r>
    </w:p>
    <w:tbl>
      <w:tblPr>
        <w:tblStyle w:val="4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06"/>
        <w:gridCol w:w="2271"/>
        <w:gridCol w:w="546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jc w:val="center"/>
        </w:trPr>
        <w:tc>
          <w:tcPr>
            <w:tcW w:w="1106" w:type="dxa"/>
            <w:noWrap w:val="0"/>
            <w:vAlign w:val="center"/>
          </w:tcPr>
          <w:p>
            <w:pPr>
              <w:jc w:val="center"/>
              <w:rPr>
                <w:rFonts w:hint="eastAsia" w:ascii="宋体" w:hAnsi="宋体" w:cs="宋体"/>
                <w:sz w:val="24"/>
                <w:szCs w:val="24"/>
              </w:rPr>
            </w:pPr>
            <w:r>
              <w:rPr>
                <w:rFonts w:hint="eastAsia" w:ascii="宋体" w:hAnsi="宋体" w:cs="宋体"/>
                <w:sz w:val="24"/>
                <w:szCs w:val="24"/>
              </w:rPr>
              <w:t>序号</w:t>
            </w:r>
          </w:p>
        </w:tc>
        <w:tc>
          <w:tcPr>
            <w:tcW w:w="2271" w:type="dxa"/>
            <w:noWrap w:val="0"/>
            <w:vAlign w:val="center"/>
          </w:tcPr>
          <w:p>
            <w:pPr>
              <w:jc w:val="center"/>
              <w:rPr>
                <w:rFonts w:hint="eastAsia" w:ascii="宋体" w:hAnsi="宋体" w:cs="宋体"/>
                <w:sz w:val="24"/>
                <w:szCs w:val="24"/>
              </w:rPr>
            </w:pPr>
            <w:r>
              <w:rPr>
                <w:rFonts w:hint="eastAsia" w:ascii="宋体" w:hAnsi="宋体" w:cs="宋体"/>
                <w:sz w:val="24"/>
                <w:szCs w:val="24"/>
              </w:rPr>
              <w:t>指标描述</w:t>
            </w:r>
          </w:p>
        </w:tc>
        <w:tc>
          <w:tcPr>
            <w:tcW w:w="5463" w:type="dxa"/>
            <w:noWrap w:val="0"/>
            <w:vAlign w:val="center"/>
          </w:tcPr>
          <w:p>
            <w:pPr>
              <w:jc w:val="center"/>
              <w:rPr>
                <w:rFonts w:hint="eastAsia" w:ascii="宋体" w:hAnsi="宋体" w:cs="宋体"/>
                <w:sz w:val="24"/>
                <w:szCs w:val="24"/>
              </w:rPr>
            </w:pPr>
            <w:r>
              <w:rPr>
                <w:rFonts w:hint="eastAsia" w:ascii="宋体" w:hAnsi="宋体" w:cs="宋体"/>
                <w:sz w:val="24"/>
                <w:szCs w:val="24"/>
              </w:rPr>
              <w:t>备       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6" w:hRule="atLeast"/>
          <w:jc w:val="center"/>
        </w:trPr>
        <w:tc>
          <w:tcPr>
            <w:tcW w:w="1106" w:type="dxa"/>
            <w:noWrap w:val="0"/>
            <w:vAlign w:val="center"/>
          </w:tcPr>
          <w:p>
            <w:pPr>
              <w:jc w:val="center"/>
              <w:rPr>
                <w:rFonts w:hint="eastAsia" w:ascii="宋体" w:hAnsi="宋体" w:cs="宋体"/>
                <w:sz w:val="24"/>
                <w:szCs w:val="24"/>
              </w:rPr>
            </w:pPr>
            <w:r>
              <w:rPr>
                <w:rFonts w:hint="eastAsia" w:ascii="宋体" w:hAnsi="宋体" w:cs="宋体"/>
                <w:sz w:val="24"/>
                <w:szCs w:val="24"/>
              </w:rPr>
              <w:t>1</w:t>
            </w:r>
          </w:p>
        </w:tc>
        <w:tc>
          <w:tcPr>
            <w:tcW w:w="2271" w:type="dxa"/>
            <w:noWrap w:val="0"/>
            <w:vAlign w:val="center"/>
          </w:tcPr>
          <w:p>
            <w:pPr>
              <w:jc w:val="center"/>
              <w:rPr>
                <w:rFonts w:hint="eastAsia" w:ascii="宋体" w:hAnsi="宋体" w:cs="宋体"/>
                <w:sz w:val="24"/>
                <w:szCs w:val="24"/>
              </w:rPr>
            </w:pPr>
            <w:r>
              <w:rPr>
                <w:rFonts w:hint="eastAsia" w:ascii="宋体" w:hAnsi="宋体" w:cs="宋体"/>
                <w:sz w:val="24"/>
                <w:szCs w:val="24"/>
              </w:rPr>
              <w:t>投标函</w:t>
            </w:r>
          </w:p>
        </w:tc>
        <w:tc>
          <w:tcPr>
            <w:tcW w:w="5463" w:type="dxa"/>
            <w:noWrap w:val="0"/>
            <w:vAlign w:val="center"/>
          </w:tcPr>
          <w:p>
            <w:pPr>
              <w:rPr>
                <w:rFonts w:hint="eastAsia" w:ascii="宋体" w:hAnsi="宋体" w:cs="宋体"/>
                <w:sz w:val="24"/>
                <w:szCs w:val="24"/>
              </w:rPr>
            </w:pPr>
            <w:r>
              <w:rPr>
                <w:rFonts w:hint="eastAsia" w:ascii="宋体" w:hAnsi="宋体" w:cs="宋体"/>
                <w:sz w:val="24"/>
                <w:szCs w:val="24"/>
              </w:rPr>
              <w:t>响应文件中的授权代表须与投标授权委托书中保持一 致，否则投标无效。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79" w:hRule="atLeast"/>
          <w:jc w:val="center"/>
        </w:trPr>
        <w:tc>
          <w:tcPr>
            <w:tcW w:w="1106" w:type="dxa"/>
            <w:noWrap w:val="0"/>
            <w:vAlign w:val="center"/>
          </w:tcPr>
          <w:p>
            <w:pPr>
              <w:jc w:val="center"/>
              <w:rPr>
                <w:rFonts w:hint="eastAsia" w:ascii="宋体" w:hAnsi="宋体" w:cs="宋体"/>
                <w:sz w:val="24"/>
                <w:szCs w:val="24"/>
              </w:rPr>
            </w:pPr>
            <w:r>
              <w:rPr>
                <w:rFonts w:hint="eastAsia" w:ascii="宋体" w:hAnsi="宋体" w:cs="宋体"/>
                <w:sz w:val="24"/>
                <w:szCs w:val="24"/>
              </w:rPr>
              <w:t>2</w:t>
            </w:r>
          </w:p>
        </w:tc>
        <w:tc>
          <w:tcPr>
            <w:tcW w:w="2271" w:type="dxa"/>
            <w:noWrap w:val="0"/>
            <w:vAlign w:val="center"/>
          </w:tcPr>
          <w:p>
            <w:pPr>
              <w:jc w:val="center"/>
              <w:rPr>
                <w:rFonts w:hint="eastAsia" w:ascii="宋体" w:hAnsi="宋体" w:cs="宋体"/>
                <w:sz w:val="24"/>
                <w:szCs w:val="24"/>
              </w:rPr>
            </w:pPr>
            <w:r>
              <w:rPr>
                <w:rFonts w:hint="eastAsia" w:ascii="宋体" w:hAnsi="宋体" w:cs="宋体"/>
                <w:sz w:val="24"/>
                <w:szCs w:val="24"/>
              </w:rPr>
              <w:t>营业执照</w:t>
            </w:r>
          </w:p>
        </w:tc>
        <w:tc>
          <w:tcPr>
            <w:tcW w:w="5463" w:type="dxa"/>
            <w:noWrap w:val="0"/>
            <w:vAlign w:val="center"/>
          </w:tcPr>
          <w:p>
            <w:pPr>
              <w:rPr>
                <w:rFonts w:hint="eastAsia" w:ascii="宋体" w:hAnsi="宋体" w:cs="宋体"/>
                <w:sz w:val="24"/>
                <w:szCs w:val="24"/>
              </w:rPr>
            </w:pPr>
            <w:r>
              <w:rPr>
                <w:rFonts w:hint="eastAsia" w:ascii="宋体" w:hAnsi="宋体" w:cs="宋体"/>
                <w:sz w:val="24"/>
                <w:szCs w:val="24"/>
              </w:rPr>
              <w:t>提供有效的营业执照和税务登记证的复印件或影印件，应完整的体现出营业执照和税务登记证的全部内容。已办理“三证合一”登记的，响应文件中提供营业执照复印件或影印件即可。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17" w:hRule="atLeast"/>
          <w:jc w:val="center"/>
        </w:trPr>
        <w:tc>
          <w:tcPr>
            <w:tcW w:w="1106" w:type="dxa"/>
            <w:noWrap w:val="0"/>
            <w:vAlign w:val="center"/>
          </w:tcPr>
          <w:p>
            <w:pPr>
              <w:jc w:val="center"/>
              <w:rPr>
                <w:rFonts w:hint="eastAsia" w:ascii="宋体" w:hAnsi="宋体" w:eastAsia="宋体" w:cs="宋体"/>
                <w:sz w:val="24"/>
                <w:szCs w:val="24"/>
                <w:lang w:val="en-US" w:eastAsia="zh-CN"/>
              </w:rPr>
            </w:pPr>
            <w:r>
              <w:rPr>
                <w:rFonts w:hint="eastAsia" w:ascii="宋体" w:hAnsi="宋体" w:cs="宋体"/>
                <w:sz w:val="24"/>
                <w:szCs w:val="24"/>
                <w:lang w:val="en-US" w:eastAsia="zh-CN"/>
              </w:rPr>
              <w:t>3</w:t>
            </w:r>
          </w:p>
        </w:tc>
        <w:tc>
          <w:tcPr>
            <w:tcW w:w="2271" w:type="dxa"/>
            <w:noWrap w:val="0"/>
            <w:vAlign w:val="center"/>
          </w:tcPr>
          <w:p>
            <w:pPr>
              <w:jc w:val="center"/>
              <w:rPr>
                <w:rFonts w:hint="eastAsia" w:ascii="宋体" w:hAnsi="宋体" w:cs="宋体"/>
                <w:sz w:val="24"/>
                <w:szCs w:val="24"/>
              </w:rPr>
            </w:pPr>
            <w:r>
              <w:rPr>
                <w:rFonts w:hint="eastAsia" w:ascii="宋体" w:hAnsi="宋体" w:cs="宋体"/>
                <w:sz w:val="24"/>
                <w:szCs w:val="24"/>
              </w:rPr>
              <w:t>法定代表人或授权委托人</w:t>
            </w:r>
          </w:p>
        </w:tc>
        <w:tc>
          <w:tcPr>
            <w:tcW w:w="5463" w:type="dxa"/>
            <w:noWrap w:val="0"/>
            <w:vAlign w:val="center"/>
          </w:tcPr>
          <w:p>
            <w:pPr>
              <w:rPr>
                <w:rFonts w:hint="eastAsia" w:ascii="宋体" w:hAnsi="宋体" w:cs="宋体"/>
                <w:sz w:val="24"/>
                <w:szCs w:val="24"/>
              </w:rPr>
            </w:pPr>
            <w:r>
              <w:rPr>
                <w:rFonts w:hint="eastAsia" w:ascii="宋体" w:hAnsi="宋体" w:cs="宋体"/>
                <w:sz w:val="24"/>
                <w:szCs w:val="24"/>
              </w:rPr>
              <w:t>授权代表参加投标的，须提供授权委托书及身份证复印件；法定代表人参加投标的，须提供身份证复印件。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jc w:val="center"/>
        </w:trPr>
        <w:tc>
          <w:tcPr>
            <w:tcW w:w="1106" w:type="dxa"/>
            <w:noWrap w:val="0"/>
            <w:vAlign w:val="center"/>
          </w:tcPr>
          <w:p>
            <w:pPr>
              <w:jc w:val="center"/>
              <w:rPr>
                <w:rFonts w:hint="eastAsia" w:ascii="宋体" w:hAnsi="宋体" w:eastAsia="宋体" w:cs="宋体"/>
                <w:sz w:val="24"/>
                <w:szCs w:val="24"/>
                <w:lang w:val="en-US" w:eastAsia="zh-CN"/>
              </w:rPr>
            </w:pPr>
            <w:r>
              <w:rPr>
                <w:rFonts w:hint="eastAsia" w:ascii="宋体" w:hAnsi="宋体" w:cs="宋体"/>
                <w:sz w:val="24"/>
                <w:szCs w:val="24"/>
                <w:lang w:val="en-US" w:eastAsia="zh-CN"/>
              </w:rPr>
              <w:t>4</w:t>
            </w:r>
          </w:p>
        </w:tc>
        <w:tc>
          <w:tcPr>
            <w:tcW w:w="2271" w:type="dxa"/>
            <w:noWrap w:val="0"/>
            <w:vAlign w:val="center"/>
          </w:tcPr>
          <w:p>
            <w:pPr>
              <w:jc w:val="center"/>
              <w:rPr>
                <w:rFonts w:hint="eastAsia" w:ascii="宋体" w:hAnsi="宋体" w:cs="宋体"/>
                <w:sz w:val="24"/>
                <w:szCs w:val="24"/>
              </w:rPr>
            </w:pPr>
            <w:r>
              <w:rPr>
                <w:rFonts w:hint="eastAsia" w:ascii="宋体" w:hAnsi="宋体" w:cs="宋体"/>
                <w:sz w:val="24"/>
                <w:szCs w:val="24"/>
              </w:rPr>
              <w:t>标书的响应性</w:t>
            </w:r>
          </w:p>
        </w:tc>
        <w:tc>
          <w:tcPr>
            <w:tcW w:w="5463" w:type="dxa"/>
            <w:noWrap w:val="0"/>
            <w:vAlign w:val="center"/>
          </w:tcPr>
          <w:p>
            <w:pPr>
              <w:rPr>
                <w:rFonts w:hint="eastAsia" w:ascii="宋体" w:hAnsi="宋体" w:cs="宋体"/>
                <w:sz w:val="24"/>
                <w:szCs w:val="24"/>
              </w:rPr>
            </w:pPr>
            <w:r>
              <w:rPr>
                <w:rFonts w:hint="eastAsia" w:ascii="宋体" w:hAnsi="宋体" w:cs="宋体"/>
                <w:sz w:val="24"/>
                <w:szCs w:val="24"/>
              </w:rPr>
              <w:t>是否响应招标文件的实质性要求。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6" w:hRule="atLeast"/>
          <w:jc w:val="center"/>
        </w:trPr>
        <w:tc>
          <w:tcPr>
            <w:tcW w:w="1106" w:type="dxa"/>
            <w:noWrap w:val="0"/>
            <w:vAlign w:val="center"/>
          </w:tcPr>
          <w:p>
            <w:pPr>
              <w:jc w:val="center"/>
              <w:rPr>
                <w:rFonts w:hint="eastAsia" w:ascii="宋体" w:hAnsi="宋体" w:eastAsia="宋体" w:cs="宋体"/>
                <w:sz w:val="24"/>
                <w:szCs w:val="24"/>
                <w:lang w:val="en-US" w:eastAsia="zh-CN"/>
              </w:rPr>
            </w:pPr>
            <w:r>
              <w:rPr>
                <w:rFonts w:hint="eastAsia" w:ascii="宋体" w:hAnsi="宋体" w:cs="宋体"/>
                <w:sz w:val="24"/>
                <w:szCs w:val="24"/>
                <w:lang w:val="en-US" w:eastAsia="zh-CN"/>
              </w:rPr>
              <w:t>5</w:t>
            </w:r>
          </w:p>
        </w:tc>
        <w:tc>
          <w:tcPr>
            <w:tcW w:w="2271" w:type="dxa"/>
            <w:noWrap w:val="0"/>
            <w:vAlign w:val="center"/>
          </w:tcPr>
          <w:p>
            <w:pPr>
              <w:jc w:val="center"/>
              <w:rPr>
                <w:rFonts w:hint="eastAsia" w:ascii="宋体" w:hAnsi="宋体" w:cs="宋体"/>
                <w:sz w:val="24"/>
                <w:szCs w:val="24"/>
              </w:rPr>
            </w:pPr>
            <w:r>
              <w:rPr>
                <w:rFonts w:hint="eastAsia" w:ascii="宋体" w:hAnsi="宋体" w:cs="宋体"/>
                <w:sz w:val="24"/>
                <w:szCs w:val="24"/>
              </w:rPr>
              <w:t>标书的规范性</w:t>
            </w:r>
          </w:p>
        </w:tc>
        <w:tc>
          <w:tcPr>
            <w:tcW w:w="5463" w:type="dxa"/>
            <w:noWrap w:val="0"/>
            <w:vAlign w:val="center"/>
          </w:tcPr>
          <w:p>
            <w:pPr>
              <w:rPr>
                <w:rFonts w:hint="eastAsia" w:ascii="宋体" w:hAnsi="宋体" w:cs="宋体"/>
                <w:sz w:val="24"/>
                <w:szCs w:val="24"/>
              </w:rPr>
            </w:pPr>
            <w:r>
              <w:rPr>
                <w:rFonts w:hint="eastAsia" w:ascii="宋体" w:hAnsi="宋体" w:cs="宋体"/>
                <w:sz w:val="24"/>
                <w:szCs w:val="24"/>
              </w:rPr>
              <w:t>未按规定的格式填写，编排混乱、无序、内容不全或字迹模糊，辨认不清为不规范。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1106" w:type="dxa"/>
            <w:noWrap w:val="0"/>
            <w:vAlign w:val="center"/>
          </w:tcPr>
          <w:p>
            <w:pPr>
              <w:jc w:val="center"/>
              <w:rPr>
                <w:rFonts w:hint="eastAsia" w:ascii="宋体" w:hAnsi="宋体" w:eastAsia="宋体" w:cs="宋体"/>
                <w:sz w:val="24"/>
                <w:szCs w:val="24"/>
                <w:lang w:val="en-US" w:eastAsia="zh-CN"/>
              </w:rPr>
            </w:pPr>
            <w:r>
              <w:rPr>
                <w:rFonts w:hint="eastAsia" w:ascii="宋体" w:hAnsi="宋体" w:cs="宋体"/>
                <w:sz w:val="24"/>
                <w:szCs w:val="24"/>
                <w:lang w:val="en-US" w:eastAsia="zh-CN"/>
              </w:rPr>
              <w:t>6</w:t>
            </w:r>
          </w:p>
        </w:tc>
        <w:tc>
          <w:tcPr>
            <w:tcW w:w="2271" w:type="dxa"/>
            <w:noWrap w:val="0"/>
            <w:vAlign w:val="center"/>
          </w:tcPr>
          <w:p>
            <w:pPr>
              <w:jc w:val="center"/>
              <w:rPr>
                <w:rFonts w:hint="eastAsia" w:ascii="宋体" w:hAnsi="宋体" w:cs="宋体"/>
                <w:sz w:val="24"/>
                <w:szCs w:val="24"/>
              </w:rPr>
            </w:pPr>
            <w:r>
              <w:rPr>
                <w:rFonts w:hint="eastAsia" w:ascii="宋体" w:hAnsi="宋体" w:cs="宋体"/>
                <w:sz w:val="24"/>
                <w:szCs w:val="24"/>
              </w:rPr>
              <w:t>其它指标</w:t>
            </w:r>
          </w:p>
        </w:tc>
        <w:tc>
          <w:tcPr>
            <w:tcW w:w="5463" w:type="dxa"/>
            <w:noWrap w:val="0"/>
            <w:vAlign w:val="center"/>
          </w:tcPr>
          <w:p>
            <w:pPr>
              <w:rPr>
                <w:rFonts w:hint="eastAsia" w:ascii="宋体" w:hAnsi="宋体" w:cs="宋体"/>
                <w:sz w:val="24"/>
                <w:szCs w:val="24"/>
              </w:rPr>
            </w:pPr>
            <w:r>
              <w:rPr>
                <w:rFonts w:hint="eastAsia" w:ascii="宋体" w:hAnsi="宋体" w:cs="宋体"/>
                <w:sz w:val="24"/>
                <w:szCs w:val="24"/>
              </w:rPr>
              <w:t>符合招标文件和招标公告要求的其它情形。</w:t>
            </w:r>
          </w:p>
        </w:tc>
      </w:tr>
    </w:tbl>
    <w:p>
      <w:pPr>
        <w:rPr>
          <w:rFonts w:hint="eastAsia" w:ascii="宋体" w:hAnsi="宋体" w:cs="宋体"/>
          <w:sz w:val="24"/>
          <w:szCs w:val="24"/>
        </w:rPr>
      </w:pPr>
    </w:p>
    <w:p>
      <w:pPr>
        <w:outlineLvl w:val="1"/>
        <w:rPr>
          <w:rFonts w:hint="eastAsia" w:ascii="宋体" w:hAnsi="宋体" w:cs="宋体"/>
          <w:b/>
          <w:bCs/>
          <w:sz w:val="24"/>
          <w:szCs w:val="24"/>
        </w:rPr>
      </w:pPr>
      <w:r>
        <w:rPr>
          <w:rFonts w:hint="eastAsia" w:ascii="宋体" w:hAnsi="宋体" w:cs="宋体"/>
          <w:sz w:val="24"/>
          <w:szCs w:val="24"/>
        </w:rPr>
        <w:t>8.2综合评审</w:t>
      </w:r>
    </w:p>
    <w:p>
      <w:pPr>
        <w:spacing w:line="360" w:lineRule="auto"/>
        <w:ind w:firstLine="470" w:firstLineChars="196"/>
        <w:rPr>
          <w:rFonts w:hint="eastAsia" w:ascii="宋体" w:hAnsi="宋体" w:cs="宋体"/>
          <w:sz w:val="24"/>
          <w:szCs w:val="24"/>
        </w:rPr>
      </w:pPr>
      <w:r>
        <w:rPr>
          <w:rFonts w:hint="eastAsia" w:ascii="宋体" w:hAnsi="宋体" w:cs="宋体"/>
          <w:sz w:val="24"/>
          <w:szCs w:val="24"/>
        </w:rPr>
        <w:t>1、对响应文件进行综合评审。磋商小组只对通过初审，实质上响应磋商文件要求的响应文件按照下述指标表进行综合评审。</w:t>
      </w:r>
    </w:p>
    <w:p>
      <w:pPr>
        <w:spacing w:line="360" w:lineRule="auto"/>
        <w:ind w:firstLine="470" w:firstLineChars="196"/>
        <w:rPr>
          <w:rFonts w:hint="eastAsia" w:ascii="宋体" w:hAnsi="宋体" w:cs="宋体"/>
          <w:color w:val="000000"/>
          <w:sz w:val="24"/>
          <w:szCs w:val="24"/>
          <w:highlight w:val="none"/>
        </w:rPr>
      </w:pPr>
      <w:r>
        <w:rPr>
          <w:rFonts w:hint="eastAsia" w:ascii="宋体" w:hAnsi="宋体" w:cs="宋体"/>
          <w:color w:val="000000"/>
          <w:sz w:val="24"/>
          <w:szCs w:val="24"/>
          <w:highlight w:val="none"/>
        </w:rPr>
        <w:t>2、本项目技术分值占总分值的权重为</w:t>
      </w:r>
      <w:r>
        <w:rPr>
          <w:rFonts w:hint="eastAsia" w:ascii="宋体" w:hAnsi="宋体" w:cs="宋体"/>
          <w:color w:val="000000"/>
          <w:sz w:val="24"/>
          <w:szCs w:val="24"/>
          <w:highlight w:val="none"/>
          <w:u w:val="single"/>
        </w:rPr>
        <w:t xml:space="preserve"> 6</w:t>
      </w:r>
      <w:r>
        <w:rPr>
          <w:rFonts w:hint="eastAsia" w:ascii="宋体" w:hAnsi="宋体" w:cs="宋体"/>
          <w:color w:val="000000"/>
          <w:sz w:val="24"/>
          <w:szCs w:val="24"/>
          <w:highlight w:val="none"/>
          <w:u w:val="single"/>
          <w:lang w:val="en-US" w:eastAsia="zh-CN"/>
        </w:rPr>
        <w:t>5</w:t>
      </w:r>
      <w:r>
        <w:rPr>
          <w:rFonts w:hint="eastAsia" w:ascii="宋体" w:hAnsi="宋体" w:cs="宋体"/>
          <w:color w:val="000000"/>
          <w:sz w:val="24"/>
          <w:szCs w:val="24"/>
          <w:highlight w:val="none"/>
        </w:rPr>
        <w:t xml:space="preserve"> %，资信分值占总分值的权重为  </w:t>
      </w:r>
      <w:r>
        <w:rPr>
          <w:rFonts w:hint="eastAsia" w:ascii="宋体" w:hAnsi="宋体" w:cs="宋体"/>
          <w:color w:val="000000"/>
          <w:sz w:val="24"/>
          <w:szCs w:val="24"/>
          <w:highlight w:val="none"/>
          <w:u w:val="single"/>
          <w:lang w:val="en-US" w:eastAsia="zh-CN"/>
        </w:rPr>
        <w:t>25</w:t>
      </w:r>
      <w:r>
        <w:rPr>
          <w:rFonts w:hint="eastAsia" w:ascii="宋体" w:hAnsi="宋体" w:cs="宋体"/>
          <w:color w:val="000000"/>
          <w:sz w:val="24"/>
          <w:szCs w:val="24"/>
          <w:highlight w:val="none"/>
          <w:u w:val="single"/>
        </w:rPr>
        <w:t xml:space="preserve">  </w:t>
      </w:r>
      <w:r>
        <w:rPr>
          <w:rFonts w:hint="eastAsia" w:ascii="宋体" w:hAnsi="宋体" w:cs="宋体"/>
          <w:color w:val="000000"/>
          <w:sz w:val="24"/>
          <w:szCs w:val="24"/>
          <w:highlight w:val="none"/>
        </w:rPr>
        <w:t>%，价格分值占总分值的权重为</w:t>
      </w:r>
      <w:r>
        <w:rPr>
          <w:rFonts w:hint="eastAsia" w:ascii="宋体" w:hAnsi="宋体" w:cs="宋体"/>
          <w:color w:val="000000"/>
          <w:sz w:val="24"/>
          <w:szCs w:val="24"/>
          <w:highlight w:val="none"/>
          <w:u w:val="single"/>
        </w:rPr>
        <w:t xml:space="preserve"> </w:t>
      </w:r>
      <w:r>
        <w:rPr>
          <w:rFonts w:hint="eastAsia" w:ascii="宋体" w:hAnsi="宋体" w:cs="宋体"/>
          <w:color w:val="000000"/>
          <w:sz w:val="24"/>
          <w:szCs w:val="24"/>
          <w:highlight w:val="none"/>
          <w:u w:val="single"/>
          <w:lang w:val="en-US" w:eastAsia="zh-CN"/>
        </w:rPr>
        <w:t>10</w:t>
      </w:r>
      <w:r>
        <w:rPr>
          <w:rFonts w:hint="eastAsia" w:ascii="宋体" w:hAnsi="宋体" w:cs="宋体"/>
          <w:color w:val="000000"/>
          <w:sz w:val="24"/>
          <w:szCs w:val="24"/>
          <w:highlight w:val="none"/>
          <w:u w:val="single"/>
        </w:rPr>
        <w:t xml:space="preserve">  </w:t>
      </w:r>
      <w:r>
        <w:rPr>
          <w:rFonts w:hint="eastAsia" w:ascii="宋体" w:hAnsi="宋体" w:cs="宋体"/>
          <w:color w:val="000000"/>
          <w:sz w:val="24"/>
          <w:szCs w:val="24"/>
          <w:highlight w:val="none"/>
        </w:rPr>
        <w:t>%。</w:t>
      </w:r>
    </w:p>
    <w:p>
      <w:pPr>
        <w:adjustRightInd w:val="0"/>
        <w:snapToGrid w:val="0"/>
        <w:spacing w:line="360" w:lineRule="auto"/>
        <w:ind w:firstLine="480" w:firstLineChars="200"/>
        <w:rPr>
          <w:rFonts w:hint="eastAsia" w:ascii="宋体" w:hAnsi="宋体" w:cs="宋体"/>
          <w:sz w:val="24"/>
          <w:szCs w:val="24"/>
        </w:rPr>
      </w:pPr>
      <w:r>
        <w:rPr>
          <w:rFonts w:hint="eastAsia" w:ascii="宋体" w:hAnsi="宋体" w:cs="宋体"/>
          <w:sz w:val="24"/>
          <w:szCs w:val="24"/>
        </w:rPr>
        <w:t>3、评分步骤如下：</w:t>
      </w:r>
    </w:p>
    <w:p>
      <w:pPr>
        <w:adjustRightInd w:val="0"/>
        <w:snapToGrid w:val="0"/>
        <w:spacing w:line="360" w:lineRule="auto"/>
        <w:ind w:firstLine="480" w:firstLineChars="200"/>
        <w:rPr>
          <w:rFonts w:hint="eastAsia" w:ascii="宋体" w:hAnsi="宋体" w:cs="宋体"/>
          <w:sz w:val="24"/>
          <w:szCs w:val="24"/>
        </w:rPr>
      </w:pPr>
      <w:r>
        <w:rPr>
          <w:rFonts w:hint="eastAsia" w:ascii="宋体" w:hAnsi="宋体" w:cs="宋体"/>
          <w:sz w:val="24"/>
          <w:szCs w:val="24"/>
        </w:rPr>
        <w:t>根据技术分的细则，磋商小组应对进入综合评审的所有供应商进行评分，并分别填写综合评审表。</w:t>
      </w:r>
    </w:p>
    <w:p>
      <w:pPr>
        <w:adjustRightInd w:val="0"/>
        <w:snapToGrid w:val="0"/>
        <w:spacing w:line="360" w:lineRule="auto"/>
        <w:ind w:firstLine="480" w:firstLineChars="200"/>
        <w:rPr>
          <w:rFonts w:hint="eastAsia" w:ascii="宋体" w:hAnsi="宋体" w:cs="宋体"/>
          <w:sz w:val="24"/>
          <w:szCs w:val="24"/>
        </w:rPr>
      </w:pPr>
      <w:r>
        <w:rPr>
          <w:rFonts w:hint="eastAsia" w:ascii="宋体" w:hAnsi="宋体" w:cs="宋体"/>
          <w:sz w:val="24"/>
          <w:szCs w:val="24"/>
        </w:rPr>
        <w:t>技术分汇总方法为：对某一供应商的每一个指标项得分，取各位评委评分之平均值，保留至小数点后两位数，得到该供应商该指标项的得分。再将供应商每个指标项得分进行汇总，得到该供应商的技术分之和，即技术总得分。</w:t>
      </w:r>
    </w:p>
    <w:p>
      <w:pPr>
        <w:adjustRightInd w:val="0"/>
        <w:snapToGrid w:val="0"/>
        <w:spacing w:line="360" w:lineRule="auto"/>
        <w:ind w:firstLine="480" w:firstLineChars="200"/>
        <w:rPr>
          <w:rFonts w:hint="eastAsia" w:ascii="宋体" w:hAnsi="宋体" w:cs="宋体"/>
          <w:sz w:val="24"/>
          <w:szCs w:val="24"/>
        </w:rPr>
      </w:pPr>
      <w:r>
        <w:rPr>
          <w:rFonts w:hint="eastAsia" w:ascii="宋体" w:hAnsi="宋体" w:cs="宋体"/>
          <w:sz w:val="24"/>
          <w:szCs w:val="24"/>
        </w:rPr>
        <w:t xml:space="preserve">8.3技术及资信分的综合评审指标详见下表： </w:t>
      </w:r>
    </w:p>
    <w:tbl>
      <w:tblPr>
        <w:tblStyle w:val="49"/>
        <w:tblW w:w="934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2"/>
        <w:gridCol w:w="1275"/>
        <w:gridCol w:w="6568"/>
        <w:gridCol w:w="76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2" w:type="dxa"/>
            <w:noWrap w:val="0"/>
            <w:vAlign w:val="center"/>
          </w:tcPr>
          <w:p>
            <w:pPr>
              <w:adjustRightInd w:val="0"/>
              <w:snapToGrid w:val="0"/>
              <w:spacing w:line="0" w:lineRule="atLeast"/>
              <w:jc w:val="center"/>
              <w:outlineLvl w:val="1"/>
              <w:rPr>
                <w:rFonts w:hint="eastAsia" w:ascii="宋体" w:hAnsi="宋体" w:eastAsia="宋体" w:cs="宋体"/>
                <w:b/>
                <w:sz w:val="21"/>
                <w:szCs w:val="21"/>
                <w:highlight w:val="none"/>
              </w:rPr>
            </w:pPr>
            <w:r>
              <w:rPr>
                <w:rFonts w:hint="eastAsia" w:ascii="宋体" w:hAnsi="宋体" w:eastAsia="宋体" w:cs="宋体"/>
                <w:b/>
                <w:sz w:val="21"/>
                <w:szCs w:val="21"/>
                <w:highlight w:val="none"/>
              </w:rPr>
              <w:t>类别</w:t>
            </w:r>
          </w:p>
        </w:tc>
        <w:tc>
          <w:tcPr>
            <w:tcW w:w="1275" w:type="dxa"/>
            <w:noWrap w:val="0"/>
            <w:vAlign w:val="center"/>
          </w:tcPr>
          <w:p>
            <w:pPr>
              <w:adjustRightInd w:val="0"/>
              <w:snapToGrid w:val="0"/>
              <w:spacing w:line="0" w:lineRule="atLeast"/>
              <w:ind w:left="0" w:leftChars="0" w:firstLine="0" w:firstLineChars="0"/>
              <w:jc w:val="center"/>
              <w:outlineLvl w:val="1"/>
              <w:rPr>
                <w:rFonts w:hint="eastAsia" w:ascii="宋体" w:hAnsi="宋体" w:eastAsia="宋体" w:cs="宋体"/>
                <w:b/>
                <w:sz w:val="21"/>
                <w:szCs w:val="21"/>
                <w:highlight w:val="none"/>
                <w:lang w:val="en-US" w:eastAsia="zh-CN"/>
              </w:rPr>
            </w:pPr>
            <w:r>
              <w:rPr>
                <w:rFonts w:hint="eastAsia" w:ascii="宋体" w:hAnsi="宋体" w:eastAsia="宋体" w:cs="宋体"/>
                <w:b/>
                <w:sz w:val="21"/>
                <w:szCs w:val="21"/>
                <w:highlight w:val="none"/>
                <w:lang w:val="en-US" w:eastAsia="zh-CN"/>
              </w:rPr>
              <w:t>类别名称</w:t>
            </w:r>
          </w:p>
        </w:tc>
        <w:tc>
          <w:tcPr>
            <w:tcW w:w="6568" w:type="dxa"/>
            <w:noWrap w:val="0"/>
            <w:vAlign w:val="center"/>
          </w:tcPr>
          <w:p>
            <w:pPr>
              <w:adjustRightInd w:val="0"/>
              <w:snapToGrid w:val="0"/>
              <w:spacing w:line="0" w:lineRule="atLeast"/>
              <w:ind w:left="0" w:leftChars="0" w:firstLine="2530" w:firstLineChars="1200"/>
              <w:outlineLvl w:val="1"/>
              <w:rPr>
                <w:rFonts w:hint="eastAsia" w:ascii="宋体" w:hAnsi="宋体" w:eastAsia="宋体" w:cs="宋体"/>
                <w:b/>
                <w:sz w:val="21"/>
                <w:szCs w:val="21"/>
                <w:highlight w:val="none"/>
              </w:rPr>
            </w:pPr>
            <w:r>
              <w:rPr>
                <w:rFonts w:hint="eastAsia" w:ascii="宋体" w:hAnsi="宋体" w:eastAsia="宋体" w:cs="宋体"/>
                <w:b/>
                <w:sz w:val="21"/>
                <w:szCs w:val="21"/>
                <w:highlight w:val="none"/>
              </w:rPr>
              <w:t>指标描述</w:t>
            </w:r>
          </w:p>
        </w:tc>
        <w:tc>
          <w:tcPr>
            <w:tcW w:w="765" w:type="dxa"/>
            <w:noWrap w:val="0"/>
            <w:vAlign w:val="center"/>
          </w:tcPr>
          <w:p>
            <w:pPr>
              <w:adjustRightInd w:val="0"/>
              <w:snapToGrid w:val="0"/>
              <w:spacing w:line="0" w:lineRule="atLeast"/>
              <w:jc w:val="center"/>
              <w:outlineLvl w:val="1"/>
              <w:rPr>
                <w:rFonts w:hint="eastAsia" w:ascii="宋体" w:hAnsi="宋体" w:eastAsia="宋体" w:cs="宋体"/>
                <w:b/>
                <w:sz w:val="21"/>
                <w:szCs w:val="21"/>
                <w:highlight w:val="none"/>
              </w:rPr>
            </w:pPr>
            <w:r>
              <w:rPr>
                <w:rFonts w:hint="eastAsia" w:ascii="宋体" w:hAnsi="宋体" w:eastAsia="宋体" w:cs="宋体"/>
                <w:b/>
                <w:sz w:val="21"/>
                <w:szCs w:val="21"/>
                <w:highlight w:val="none"/>
              </w:rPr>
              <w:t>分值范围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3" w:hRule="atLeast"/>
          <w:jc w:val="center"/>
        </w:trPr>
        <w:tc>
          <w:tcPr>
            <w:tcW w:w="732" w:type="dxa"/>
            <w:vMerge w:val="restart"/>
            <w:noWrap w:val="0"/>
            <w:vAlign w:val="center"/>
          </w:tcPr>
          <w:p>
            <w:pPr>
              <w:pStyle w:val="20"/>
              <w:spacing w:line="360" w:lineRule="auto"/>
              <w:ind w:left="0" w:leftChars="0" w:right="0" w:rightChars="0" w:firstLine="0" w:firstLineChars="0"/>
              <w:jc w:val="center"/>
              <w:outlineLvl w:val="1"/>
              <w:rPr>
                <w:rFonts w:hint="eastAsia" w:ascii="宋体" w:hAnsi="宋体" w:eastAsia="宋体" w:cs="宋体"/>
                <w:bCs/>
                <w:sz w:val="21"/>
                <w:szCs w:val="21"/>
                <w:highlight w:val="none"/>
              </w:rPr>
            </w:pPr>
            <w:r>
              <w:rPr>
                <w:rFonts w:hint="eastAsia" w:ascii="宋体" w:hAnsi="宋体" w:eastAsia="宋体" w:cs="宋体"/>
                <w:bCs/>
                <w:sz w:val="21"/>
                <w:szCs w:val="21"/>
                <w:highlight w:val="none"/>
              </w:rPr>
              <w:t>一</w:t>
            </w:r>
          </w:p>
        </w:tc>
        <w:tc>
          <w:tcPr>
            <w:tcW w:w="1275" w:type="dxa"/>
            <w:vMerge w:val="restart"/>
            <w:noWrap w:val="0"/>
            <w:vAlign w:val="center"/>
          </w:tcPr>
          <w:p>
            <w:pPr>
              <w:pStyle w:val="20"/>
              <w:spacing w:line="360" w:lineRule="auto"/>
              <w:ind w:left="0" w:leftChars="0" w:right="0" w:rightChars="0" w:firstLine="0" w:firstLineChars="0"/>
              <w:jc w:val="center"/>
              <w:outlineLvl w:val="1"/>
              <w:rPr>
                <w:rFonts w:hint="eastAsia" w:ascii="宋体" w:hAnsi="宋体" w:eastAsia="宋体" w:cs="宋体"/>
                <w:sz w:val="21"/>
                <w:szCs w:val="21"/>
                <w:highlight w:val="none"/>
              </w:rPr>
            </w:pPr>
            <w:r>
              <w:rPr>
                <w:rFonts w:hint="eastAsia" w:ascii="宋体" w:hAnsi="宋体" w:eastAsia="宋体" w:cs="宋体"/>
                <w:bCs/>
                <w:sz w:val="21"/>
                <w:szCs w:val="21"/>
                <w:highlight w:val="none"/>
              </w:rPr>
              <w:t>技术标（6</w:t>
            </w:r>
            <w:r>
              <w:rPr>
                <w:rFonts w:hint="eastAsia" w:ascii="宋体" w:hAnsi="宋体" w:eastAsia="宋体" w:cs="宋体"/>
                <w:bCs/>
                <w:sz w:val="21"/>
                <w:szCs w:val="21"/>
                <w:highlight w:val="none"/>
                <w:lang w:val="en-US" w:eastAsia="zh-CN"/>
              </w:rPr>
              <w:t>5</w:t>
            </w:r>
            <w:r>
              <w:rPr>
                <w:rFonts w:hint="eastAsia" w:ascii="宋体" w:hAnsi="宋体" w:eastAsia="宋体" w:cs="宋体"/>
                <w:bCs/>
                <w:sz w:val="21"/>
                <w:szCs w:val="21"/>
                <w:highlight w:val="none"/>
              </w:rPr>
              <w:t>分）</w:t>
            </w:r>
          </w:p>
        </w:tc>
        <w:tc>
          <w:tcPr>
            <w:tcW w:w="6568" w:type="dxa"/>
            <w:noWrap w:val="0"/>
            <w:vAlign w:val="center"/>
          </w:tcPr>
          <w:p>
            <w:pPr>
              <w:pStyle w:val="20"/>
              <w:ind w:left="0" w:leftChars="0" w:firstLine="0" w:firstLineChars="0"/>
              <w:outlineLvl w:val="1"/>
              <w:rPr>
                <w:rFonts w:hint="eastAsia" w:ascii="宋体" w:hAnsi="宋体" w:eastAsia="宋体" w:cs="宋体"/>
                <w:sz w:val="21"/>
                <w:szCs w:val="21"/>
                <w:highlight w:val="none"/>
              </w:rPr>
            </w:pPr>
            <w:r>
              <w:rPr>
                <w:rFonts w:hint="eastAsia" w:ascii="宋体" w:hAnsi="宋体" w:eastAsia="宋体" w:cs="宋体"/>
                <w:sz w:val="21"/>
                <w:szCs w:val="21"/>
                <w:highlight w:val="none"/>
              </w:rPr>
              <w:t>1、提高物业管理服务水平的整体设想及策划</w:t>
            </w:r>
          </w:p>
          <w:p>
            <w:pPr>
              <w:pStyle w:val="20"/>
              <w:ind w:left="0" w:leftChars="0" w:firstLine="0" w:firstLineChars="0"/>
              <w:outlineLvl w:val="1"/>
              <w:rPr>
                <w:rFonts w:hint="eastAsia" w:ascii="宋体" w:hAnsi="宋体" w:eastAsia="宋体" w:cs="宋体"/>
                <w:sz w:val="21"/>
                <w:szCs w:val="21"/>
                <w:highlight w:val="none"/>
              </w:rPr>
            </w:pPr>
            <w:r>
              <w:rPr>
                <w:rFonts w:hint="eastAsia" w:ascii="宋体" w:hAnsi="宋体" w:eastAsia="宋体" w:cs="宋体"/>
                <w:sz w:val="21"/>
                <w:szCs w:val="21"/>
                <w:highlight w:val="none"/>
              </w:rPr>
              <w:t>根据有关法规、政策、标准及小区的</w:t>
            </w:r>
            <w:r>
              <w:rPr>
                <w:rFonts w:hint="eastAsia" w:ascii="宋体" w:hAnsi="宋体" w:eastAsia="宋体" w:cs="宋体"/>
                <w:sz w:val="21"/>
                <w:szCs w:val="21"/>
                <w:highlight w:val="none"/>
                <w:lang w:val="en-US" w:eastAsia="zh-CN"/>
              </w:rPr>
              <w:t>具体</w:t>
            </w:r>
            <w:r>
              <w:rPr>
                <w:rFonts w:hint="eastAsia" w:ascii="宋体" w:hAnsi="宋体" w:eastAsia="宋体" w:cs="宋体"/>
                <w:sz w:val="21"/>
                <w:szCs w:val="21"/>
                <w:highlight w:val="none"/>
              </w:rPr>
              <w:t>特点，拟提出整体设想及策划。</w:t>
            </w:r>
          </w:p>
          <w:p>
            <w:pPr>
              <w:pStyle w:val="20"/>
              <w:ind w:left="0" w:leftChars="0" w:firstLine="0" w:firstLineChars="0"/>
              <w:outlineLvl w:val="1"/>
              <w:rPr>
                <w:rFonts w:hint="eastAsia" w:ascii="宋体" w:hAnsi="宋体" w:eastAsia="宋体" w:cs="宋体"/>
                <w:sz w:val="21"/>
                <w:szCs w:val="21"/>
                <w:highlight w:val="none"/>
              </w:rPr>
            </w:pPr>
            <w:r>
              <w:rPr>
                <w:rFonts w:hint="eastAsia" w:ascii="宋体" w:hAnsi="宋体" w:eastAsia="宋体" w:cs="宋体"/>
                <w:sz w:val="21"/>
                <w:szCs w:val="21"/>
                <w:highlight w:val="none"/>
              </w:rPr>
              <w:t>（1）</w:t>
            </w:r>
            <w:r>
              <w:rPr>
                <w:rFonts w:hint="eastAsia" w:ascii="宋体" w:hAnsi="宋体" w:eastAsia="宋体" w:cs="宋体"/>
                <w:sz w:val="21"/>
                <w:szCs w:val="21"/>
                <w:highlight w:val="none"/>
                <w:lang w:val="en-US" w:eastAsia="zh-CN"/>
              </w:rPr>
              <w:t>客群分析</w:t>
            </w:r>
            <w:r>
              <w:rPr>
                <w:rFonts w:hint="eastAsia" w:ascii="宋体" w:hAnsi="宋体" w:eastAsia="宋体" w:cs="宋体"/>
                <w:sz w:val="21"/>
                <w:szCs w:val="21"/>
                <w:highlight w:val="none"/>
              </w:rPr>
              <w:t>；</w:t>
            </w:r>
          </w:p>
          <w:p>
            <w:pPr>
              <w:pStyle w:val="20"/>
              <w:ind w:left="0" w:leftChars="0" w:firstLine="0" w:firstLineChars="0"/>
              <w:outlineLvl w:val="1"/>
              <w:rPr>
                <w:rFonts w:hint="eastAsia" w:ascii="宋体" w:hAnsi="宋体" w:eastAsia="宋体" w:cs="宋体"/>
                <w:sz w:val="21"/>
                <w:szCs w:val="21"/>
                <w:highlight w:val="none"/>
              </w:rPr>
            </w:pPr>
            <w:r>
              <w:rPr>
                <w:rFonts w:hint="eastAsia" w:ascii="宋体" w:hAnsi="宋体" w:eastAsia="宋体" w:cs="宋体"/>
                <w:sz w:val="21"/>
                <w:szCs w:val="21"/>
                <w:highlight w:val="none"/>
              </w:rPr>
              <w:t>（2）</w:t>
            </w:r>
            <w:r>
              <w:rPr>
                <w:rFonts w:hint="eastAsia" w:ascii="宋体" w:hAnsi="宋体" w:eastAsia="宋体" w:cs="宋体"/>
                <w:sz w:val="21"/>
                <w:szCs w:val="21"/>
                <w:highlight w:val="none"/>
                <w:lang w:val="en-US" w:eastAsia="zh-CN"/>
              </w:rPr>
              <w:t>服务定位</w:t>
            </w:r>
            <w:r>
              <w:rPr>
                <w:rFonts w:hint="eastAsia" w:ascii="宋体" w:hAnsi="宋体" w:eastAsia="宋体" w:cs="宋体"/>
                <w:sz w:val="21"/>
                <w:szCs w:val="21"/>
                <w:highlight w:val="none"/>
              </w:rPr>
              <w:t>；</w:t>
            </w:r>
          </w:p>
          <w:p>
            <w:pPr>
              <w:pStyle w:val="20"/>
              <w:ind w:left="0" w:leftChars="0" w:firstLine="0" w:firstLineChars="0"/>
              <w:outlineLvl w:val="1"/>
              <w:rPr>
                <w:rFonts w:hint="eastAsia" w:ascii="宋体" w:hAnsi="宋体" w:eastAsia="宋体" w:cs="宋体"/>
                <w:sz w:val="21"/>
                <w:szCs w:val="21"/>
                <w:highlight w:val="none"/>
              </w:rPr>
            </w:pPr>
            <w:r>
              <w:rPr>
                <w:rFonts w:hint="eastAsia" w:ascii="宋体" w:hAnsi="宋体" w:eastAsia="宋体" w:cs="宋体"/>
                <w:sz w:val="21"/>
                <w:szCs w:val="21"/>
                <w:highlight w:val="none"/>
              </w:rPr>
              <w:t>（3）</w:t>
            </w:r>
            <w:r>
              <w:rPr>
                <w:rFonts w:hint="eastAsia" w:ascii="宋体" w:hAnsi="宋体" w:eastAsia="宋体" w:cs="宋体"/>
                <w:sz w:val="21"/>
                <w:szCs w:val="21"/>
                <w:highlight w:val="none"/>
                <w:lang w:val="en-US" w:eastAsia="zh-CN"/>
              </w:rPr>
              <w:t>服务目标</w:t>
            </w:r>
            <w:r>
              <w:rPr>
                <w:rFonts w:hint="eastAsia" w:ascii="宋体" w:hAnsi="宋体" w:eastAsia="宋体" w:cs="宋体"/>
                <w:sz w:val="21"/>
                <w:szCs w:val="21"/>
                <w:highlight w:val="none"/>
              </w:rPr>
              <w:t>；</w:t>
            </w:r>
          </w:p>
          <w:p>
            <w:pPr>
              <w:pStyle w:val="20"/>
              <w:ind w:left="0" w:leftChars="0" w:firstLine="0" w:firstLineChars="0"/>
              <w:outlineLvl w:val="1"/>
              <w:rPr>
                <w:rFonts w:hint="eastAsia" w:ascii="宋体" w:hAnsi="宋体" w:eastAsia="宋体" w:cs="宋体"/>
                <w:sz w:val="21"/>
                <w:szCs w:val="21"/>
                <w:highlight w:val="none"/>
              </w:rPr>
            </w:pPr>
            <w:r>
              <w:rPr>
                <w:rFonts w:hint="eastAsia" w:ascii="宋体" w:hAnsi="宋体" w:eastAsia="宋体" w:cs="宋体"/>
                <w:sz w:val="21"/>
                <w:szCs w:val="21"/>
                <w:highlight w:val="none"/>
              </w:rPr>
              <w:t>（4）</w:t>
            </w:r>
            <w:r>
              <w:rPr>
                <w:rFonts w:hint="eastAsia" w:ascii="宋体" w:hAnsi="宋体" w:eastAsia="宋体" w:cs="宋体"/>
                <w:sz w:val="21"/>
                <w:szCs w:val="21"/>
                <w:highlight w:val="none"/>
                <w:lang w:val="en-US" w:eastAsia="zh-CN"/>
              </w:rPr>
              <w:t>重难点分析</w:t>
            </w:r>
            <w:r>
              <w:rPr>
                <w:rFonts w:hint="eastAsia" w:ascii="宋体" w:hAnsi="宋体" w:eastAsia="宋体" w:cs="宋体"/>
                <w:sz w:val="21"/>
                <w:szCs w:val="21"/>
                <w:highlight w:val="none"/>
              </w:rPr>
              <w:t>；</w:t>
            </w:r>
          </w:p>
          <w:p>
            <w:pPr>
              <w:pStyle w:val="20"/>
              <w:ind w:left="0" w:leftChars="0" w:firstLine="0" w:firstLineChars="0"/>
              <w:outlineLvl w:val="1"/>
              <w:rPr>
                <w:rFonts w:hint="eastAsia" w:ascii="宋体" w:hAnsi="宋体" w:eastAsia="宋体" w:cs="宋体"/>
                <w:sz w:val="21"/>
                <w:szCs w:val="21"/>
                <w:highlight w:val="none"/>
              </w:rPr>
            </w:pPr>
            <w:r>
              <w:rPr>
                <w:rFonts w:hint="eastAsia" w:ascii="宋体" w:hAnsi="宋体" w:eastAsia="宋体" w:cs="宋体"/>
                <w:sz w:val="21"/>
                <w:szCs w:val="21"/>
                <w:highlight w:val="none"/>
              </w:rPr>
              <w:t>（5）</w:t>
            </w:r>
            <w:r>
              <w:rPr>
                <w:rFonts w:hint="eastAsia" w:ascii="宋体" w:hAnsi="宋体" w:eastAsia="宋体" w:cs="宋体"/>
                <w:sz w:val="21"/>
                <w:szCs w:val="21"/>
                <w:highlight w:val="none"/>
                <w:lang w:val="en-US" w:eastAsia="zh-CN"/>
              </w:rPr>
              <w:t>管理措施</w:t>
            </w:r>
            <w:r>
              <w:rPr>
                <w:rFonts w:hint="eastAsia" w:ascii="宋体" w:hAnsi="宋体" w:eastAsia="宋体" w:cs="宋体"/>
                <w:sz w:val="21"/>
                <w:szCs w:val="21"/>
                <w:highlight w:val="none"/>
              </w:rPr>
              <w:t>；</w:t>
            </w:r>
          </w:p>
        </w:tc>
        <w:tc>
          <w:tcPr>
            <w:tcW w:w="765" w:type="dxa"/>
            <w:noWrap w:val="0"/>
            <w:vAlign w:val="center"/>
          </w:tcPr>
          <w:p>
            <w:pPr>
              <w:pStyle w:val="20"/>
              <w:spacing w:line="360" w:lineRule="auto"/>
              <w:ind w:left="0" w:leftChars="0" w:right="0" w:rightChars="0" w:firstLine="0" w:firstLineChars="0"/>
              <w:jc w:val="center"/>
              <w:outlineLvl w:val="1"/>
              <w:rPr>
                <w:rFonts w:hint="eastAsia" w:ascii="宋体" w:hAnsi="宋体" w:eastAsia="宋体" w:cs="宋体"/>
                <w:bCs/>
                <w:sz w:val="21"/>
                <w:szCs w:val="21"/>
                <w:highlight w:val="none"/>
              </w:rPr>
            </w:pPr>
            <w:r>
              <w:rPr>
                <w:rFonts w:hint="eastAsia" w:ascii="宋体" w:hAnsi="宋体" w:eastAsia="宋体" w:cs="宋体"/>
                <w:bCs/>
                <w:sz w:val="21"/>
                <w:szCs w:val="21"/>
                <w:highlight w:val="none"/>
              </w:rPr>
              <w:t>0-</w:t>
            </w:r>
            <w:r>
              <w:rPr>
                <w:rFonts w:hint="eastAsia" w:ascii="宋体" w:hAnsi="宋体" w:eastAsia="宋体" w:cs="宋体"/>
                <w:bCs/>
                <w:sz w:val="21"/>
                <w:szCs w:val="21"/>
                <w:highlight w:val="none"/>
                <w:lang w:val="en-US" w:eastAsia="zh-CN"/>
              </w:rPr>
              <w:t>10</w:t>
            </w:r>
            <w:r>
              <w:rPr>
                <w:rFonts w:hint="eastAsia" w:ascii="宋体" w:hAnsi="宋体" w:eastAsia="宋体" w:cs="宋体"/>
                <w:bCs/>
                <w:sz w:val="21"/>
                <w:szCs w:val="21"/>
                <w:highlight w:val="none"/>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8" w:hRule="atLeast"/>
          <w:jc w:val="center"/>
        </w:trPr>
        <w:tc>
          <w:tcPr>
            <w:tcW w:w="732" w:type="dxa"/>
            <w:vMerge w:val="continue"/>
            <w:noWrap w:val="0"/>
            <w:vAlign w:val="center"/>
          </w:tcPr>
          <w:p>
            <w:pPr>
              <w:pStyle w:val="20"/>
              <w:spacing w:line="360" w:lineRule="auto"/>
              <w:ind w:left="0" w:leftChars="0" w:right="0" w:rightChars="0" w:firstLine="0" w:firstLineChars="0"/>
              <w:jc w:val="center"/>
              <w:outlineLvl w:val="1"/>
              <w:rPr>
                <w:rFonts w:hint="eastAsia" w:ascii="宋体" w:hAnsi="宋体" w:eastAsia="宋体" w:cs="宋体"/>
                <w:bCs/>
                <w:sz w:val="21"/>
                <w:szCs w:val="21"/>
                <w:highlight w:val="none"/>
              </w:rPr>
            </w:pPr>
          </w:p>
        </w:tc>
        <w:tc>
          <w:tcPr>
            <w:tcW w:w="1275" w:type="dxa"/>
            <w:vMerge w:val="continue"/>
            <w:noWrap w:val="0"/>
            <w:vAlign w:val="center"/>
          </w:tcPr>
          <w:p>
            <w:pPr>
              <w:pStyle w:val="20"/>
              <w:spacing w:line="360" w:lineRule="auto"/>
              <w:ind w:firstLine="0"/>
              <w:outlineLvl w:val="1"/>
              <w:rPr>
                <w:rFonts w:hint="eastAsia" w:ascii="宋体" w:hAnsi="宋体" w:eastAsia="宋体" w:cs="宋体"/>
                <w:sz w:val="21"/>
                <w:szCs w:val="21"/>
                <w:highlight w:val="none"/>
              </w:rPr>
            </w:pPr>
          </w:p>
        </w:tc>
        <w:tc>
          <w:tcPr>
            <w:tcW w:w="6568" w:type="dxa"/>
            <w:noWrap w:val="0"/>
            <w:vAlign w:val="center"/>
          </w:tcPr>
          <w:p>
            <w:pPr>
              <w:pStyle w:val="20"/>
              <w:ind w:left="0" w:leftChars="0" w:firstLine="0" w:firstLineChars="0"/>
              <w:outlineLvl w:val="1"/>
              <w:rPr>
                <w:rFonts w:hint="eastAsia" w:ascii="宋体" w:hAnsi="宋体" w:eastAsia="宋体" w:cs="宋体"/>
                <w:sz w:val="21"/>
                <w:szCs w:val="21"/>
                <w:highlight w:val="none"/>
              </w:rPr>
            </w:pPr>
            <w:r>
              <w:rPr>
                <w:rFonts w:hint="eastAsia" w:ascii="宋体" w:hAnsi="宋体" w:eastAsia="宋体" w:cs="宋体"/>
                <w:sz w:val="21"/>
                <w:szCs w:val="21"/>
                <w:highlight w:val="none"/>
              </w:rPr>
              <w:t>2</w:t>
            </w:r>
            <w:r>
              <w:rPr>
                <w:rFonts w:hint="eastAsia" w:ascii="宋体" w:hAnsi="宋体" w:eastAsia="宋体" w:cs="宋体"/>
                <w:b/>
                <w:bCs/>
                <w:sz w:val="21"/>
                <w:szCs w:val="21"/>
                <w:highlight w:val="none"/>
              </w:rPr>
              <w:t>、</w:t>
            </w:r>
            <w:r>
              <w:rPr>
                <w:rFonts w:hint="eastAsia" w:ascii="宋体" w:hAnsi="宋体" w:eastAsia="宋体" w:cs="宋体"/>
                <w:sz w:val="21"/>
                <w:szCs w:val="21"/>
                <w:highlight w:val="none"/>
              </w:rPr>
              <w:t>管理方式、工作计划和物资装备情况</w:t>
            </w:r>
          </w:p>
          <w:p>
            <w:pPr>
              <w:pStyle w:val="20"/>
              <w:ind w:left="0" w:leftChars="0" w:firstLine="0" w:firstLineChars="0"/>
              <w:outlineLvl w:val="1"/>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rPr>
              <w:t>（1）管理方式：</w:t>
            </w:r>
            <w:r>
              <w:rPr>
                <w:rFonts w:hint="eastAsia" w:ascii="宋体" w:hAnsi="宋体" w:eastAsia="宋体" w:cs="宋体"/>
                <w:sz w:val="21"/>
                <w:szCs w:val="21"/>
                <w:highlight w:val="none"/>
                <w:lang w:val="en-US" w:eastAsia="zh-CN"/>
              </w:rPr>
              <w:t>管理机构设置</w:t>
            </w:r>
            <w:r>
              <w:rPr>
                <w:rFonts w:hint="eastAsia" w:ascii="宋体" w:hAnsi="宋体" w:eastAsia="宋体" w:cs="宋体"/>
                <w:sz w:val="21"/>
                <w:szCs w:val="21"/>
                <w:highlight w:val="none"/>
              </w:rPr>
              <w:t>、激励机制、监督机制、自我约束机制、信息反馈及处理机制等</w:t>
            </w:r>
            <w:r>
              <w:rPr>
                <w:rFonts w:hint="eastAsia" w:ascii="宋体" w:hAnsi="宋体" w:eastAsia="宋体" w:cs="宋体"/>
                <w:sz w:val="21"/>
                <w:szCs w:val="21"/>
                <w:highlight w:val="none"/>
                <w:lang w:eastAsia="zh-CN"/>
              </w:rPr>
              <w:t>；</w:t>
            </w:r>
          </w:p>
          <w:p>
            <w:pPr>
              <w:pStyle w:val="20"/>
              <w:ind w:left="0" w:leftChars="0" w:firstLine="0" w:firstLineChars="0"/>
              <w:outlineLvl w:val="1"/>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rPr>
              <w:t>（2）工作计划：各项管理服务计划安排等</w:t>
            </w:r>
            <w:r>
              <w:rPr>
                <w:rFonts w:hint="eastAsia" w:ascii="宋体" w:hAnsi="宋体" w:eastAsia="宋体" w:cs="宋体"/>
                <w:sz w:val="21"/>
                <w:szCs w:val="21"/>
                <w:highlight w:val="none"/>
                <w:lang w:eastAsia="zh-CN"/>
              </w:rPr>
              <w:t>；</w:t>
            </w:r>
          </w:p>
          <w:p>
            <w:pPr>
              <w:pStyle w:val="20"/>
              <w:ind w:left="0" w:leftChars="0" w:firstLine="0" w:firstLineChars="0"/>
              <w:outlineLvl w:val="1"/>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rPr>
              <w:t>（3）物资装备：管理服务</w:t>
            </w:r>
            <w:r>
              <w:rPr>
                <w:rFonts w:hint="eastAsia" w:ascii="宋体" w:hAnsi="宋体" w:eastAsia="宋体" w:cs="宋体"/>
                <w:sz w:val="21"/>
                <w:szCs w:val="21"/>
                <w:highlight w:val="none"/>
                <w:lang w:val="en-US" w:eastAsia="zh-CN"/>
              </w:rPr>
              <w:t>所需的物资、工具</w:t>
            </w:r>
            <w:r>
              <w:rPr>
                <w:rFonts w:hint="eastAsia" w:ascii="宋体" w:hAnsi="宋体" w:eastAsia="宋体" w:cs="宋体"/>
                <w:sz w:val="21"/>
                <w:szCs w:val="21"/>
                <w:highlight w:val="none"/>
              </w:rPr>
              <w:t>及办公用品等</w:t>
            </w:r>
            <w:r>
              <w:rPr>
                <w:rFonts w:hint="eastAsia" w:ascii="宋体" w:hAnsi="宋体" w:eastAsia="宋体" w:cs="宋体"/>
                <w:sz w:val="21"/>
                <w:szCs w:val="21"/>
                <w:highlight w:val="none"/>
                <w:lang w:eastAsia="zh-CN"/>
              </w:rPr>
              <w:t>；</w:t>
            </w:r>
          </w:p>
        </w:tc>
        <w:tc>
          <w:tcPr>
            <w:tcW w:w="765" w:type="dxa"/>
            <w:noWrap w:val="0"/>
            <w:vAlign w:val="center"/>
          </w:tcPr>
          <w:p>
            <w:pPr>
              <w:pStyle w:val="20"/>
              <w:spacing w:line="360" w:lineRule="auto"/>
              <w:ind w:left="0" w:leftChars="0" w:right="0" w:rightChars="0" w:firstLine="0" w:firstLineChars="0"/>
              <w:jc w:val="center"/>
              <w:outlineLvl w:val="1"/>
              <w:rPr>
                <w:rFonts w:hint="eastAsia" w:ascii="宋体" w:hAnsi="宋体" w:eastAsia="宋体" w:cs="宋体"/>
                <w:bCs/>
                <w:sz w:val="21"/>
                <w:szCs w:val="21"/>
                <w:highlight w:val="none"/>
              </w:rPr>
            </w:pPr>
            <w:r>
              <w:rPr>
                <w:rFonts w:hint="eastAsia" w:ascii="宋体" w:hAnsi="宋体" w:eastAsia="宋体" w:cs="宋体"/>
                <w:bCs/>
                <w:sz w:val="21"/>
                <w:szCs w:val="21"/>
                <w:highlight w:val="none"/>
              </w:rPr>
              <w:t>0-</w:t>
            </w:r>
            <w:r>
              <w:rPr>
                <w:rFonts w:hint="eastAsia" w:ascii="宋体" w:hAnsi="宋体" w:eastAsia="宋体" w:cs="宋体"/>
                <w:bCs/>
                <w:sz w:val="21"/>
                <w:szCs w:val="21"/>
                <w:highlight w:val="none"/>
                <w:lang w:val="en-US" w:eastAsia="zh-CN"/>
              </w:rPr>
              <w:t>6</w:t>
            </w:r>
            <w:r>
              <w:rPr>
                <w:rFonts w:hint="eastAsia" w:ascii="宋体" w:hAnsi="宋体" w:eastAsia="宋体" w:cs="宋体"/>
                <w:bCs/>
                <w:sz w:val="21"/>
                <w:szCs w:val="21"/>
                <w:highlight w:val="none"/>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1" w:hRule="atLeast"/>
          <w:jc w:val="center"/>
        </w:trPr>
        <w:tc>
          <w:tcPr>
            <w:tcW w:w="732" w:type="dxa"/>
            <w:vMerge w:val="continue"/>
            <w:noWrap w:val="0"/>
            <w:vAlign w:val="center"/>
          </w:tcPr>
          <w:p>
            <w:pPr>
              <w:pStyle w:val="20"/>
              <w:spacing w:line="360" w:lineRule="auto"/>
              <w:ind w:left="0" w:leftChars="0" w:right="0" w:rightChars="0" w:firstLine="0" w:firstLineChars="0"/>
              <w:jc w:val="center"/>
              <w:outlineLvl w:val="1"/>
              <w:rPr>
                <w:rFonts w:hint="eastAsia" w:ascii="宋体" w:hAnsi="宋体" w:eastAsia="宋体" w:cs="宋体"/>
                <w:bCs/>
                <w:sz w:val="21"/>
                <w:szCs w:val="21"/>
                <w:highlight w:val="none"/>
              </w:rPr>
            </w:pPr>
          </w:p>
        </w:tc>
        <w:tc>
          <w:tcPr>
            <w:tcW w:w="1275" w:type="dxa"/>
            <w:vMerge w:val="continue"/>
            <w:noWrap w:val="0"/>
            <w:vAlign w:val="center"/>
          </w:tcPr>
          <w:p>
            <w:pPr>
              <w:pStyle w:val="20"/>
              <w:spacing w:line="360" w:lineRule="auto"/>
              <w:ind w:firstLine="0"/>
              <w:outlineLvl w:val="1"/>
              <w:rPr>
                <w:rFonts w:hint="eastAsia" w:ascii="宋体" w:hAnsi="宋体" w:eastAsia="宋体" w:cs="宋体"/>
                <w:sz w:val="21"/>
                <w:szCs w:val="21"/>
                <w:highlight w:val="none"/>
              </w:rPr>
            </w:pPr>
          </w:p>
        </w:tc>
        <w:tc>
          <w:tcPr>
            <w:tcW w:w="6568" w:type="dxa"/>
            <w:noWrap w:val="0"/>
            <w:vAlign w:val="center"/>
          </w:tcPr>
          <w:p>
            <w:pPr>
              <w:pStyle w:val="20"/>
              <w:ind w:left="0" w:leftChars="0" w:firstLine="0" w:firstLineChars="0"/>
              <w:outlineLvl w:val="1"/>
              <w:rPr>
                <w:rFonts w:hint="eastAsia" w:ascii="宋体" w:hAnsi="宋体" w:eastAsia="宋体" w:cs="宋体"/>
                <w:sz w:val="21"/>
                <w:szCs w:val="21"/>
                <w:highlight w:val="none"/>
              </w:rPr>
            </w:pPr>
            <w:r>
              <w:rPr>
                <w:rFonts w:hint="eastAsia" w:ascii="宋体" w:hAnsi="宋体" w:eastAsia="宋体" w:cs="宋体"/>
                <w:sz w:val="21"/>
                <w:szCs w:val="21"/>
                <w:highlight w:val="none"/>
              </w:rPr>
              <w:t>3、管理人员的岗位配备、培训、管理</w:t>
            </w:r>
          </w:p>
          <w:p>
            <w:pPr>
              <w:pStyle w:val="20"/>
              <w:ind w:left="0" w:leftChars="0" w:firstLine="0" w:firstLineChars="0"/>
              <w:outlineLvl w:val="1"/>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rPr>
              <w:t>（1）管理人员配备：项目经理、各类人员数量、文化素质、专业素质、各岗位人员的配置等</w:t>
            </w:r>
            <w:r>
              <w:rPr>
                <w:rFonts w:hint="eastAsia" w:ascii="宋体" w:hAnsi="宋体" w:eastAsia="宋体" w:cs="宋体"/>
                <w:sz w:val="21"/>
                <w:szCs w:val="21"/>
                <w:highlight w:val="none"/>
                <w:lang w:eastAsia="zh-CN"/>
              </w:rPr>
              <w:t>；</w:t>
            </w:r>
          </w:p>
          <w:p>
            <w:pPr>
              <w:pStyle w:val="20"/>
              <w:ind w:left="0" w:leftChars="0" w:firstLine="0" w:firstLineChars="0"/>
              <w:outlineLvl w:val="1"/>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rPr>
              <w:t>（2）管理人员培训：对各类人员的培训计划、方式、目标及行为规范的培训等</w:t>
            </w:r>
            <w:r>
              <w:rPr>
                <w:rFonts w:hint="eastAsia" w:ascii="宋体" w:hAnsi="宋体" w:eastAsia="宋体" w:cs="宋体"/>
                <w:sz w:val="21"/>
                <w:szCs w:val="21"/>
                <w:highlight w:val="none"/>
                <w:lang w:eastAsia="zh-CN"/>
              </w:rPr>
              <w:t>；</w:t>
            </w:r>
          </w:p>
          <w:p>
            <w:pPr>
              <w:pStyle w:val="20"/>
              <w:ind w:left="0" w:leftChars="0" w:firstLine="0" w:firstLineChars="0"/>
              <w:outlineLvl w:val="1"/>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rPr>
              <w:t>（3）人员管理：录用与考核、淘汰机制、奖罚、协调关系、服务意识、量化管理及标准运作等</w:t>
            </w:r>
            <w:r>
              <w:rPr>
                <w:rFonts w:hint="eastAsia" w:ascii="宋体" w:hAnsi="宋体" w:eastAsia="宋体" w:cs="宋体"/>
                <w:sz w:val="21"/>
                <w:szCs w:val="21"/>
                <w:highlight w:val="none"/>
                <w:lang w:eastAsia="zh-CN"/>
              </w:rPr>
              <w:t>；</w:t>
            </w:r>
          </w:p>
        </w:tc>
        <w:tc>
          <w:tcPr>
            <w:tcW w:w="765" w:type="dxa"/>
            <w:noWrap w:val="0"/>
            <w:vAlign w:val="center"/>
          </w:tcPr>
          <w:p>
            <w:pPr>
              <w:pStyle w:val="20"/>
              <w:spacing w:line="360" w:lineRule="auto"/>
              <w:ind w:left="0" w:leftChars="0" w:right="0" w:rightChars="0" w:firstLine="0" w:firstLineChars="0"/>
              <w:jc w:val="center"/>
              <w:outlineLvl w:val="1"/>
              <w:rPr>
                <w:rFonts w:hint="eastAsia" w:ascii="宋体" w:hAnsi="宋体" w:eastAsia="宋体" w:cs="宋体"/>
                <w:bCs/>
                <w:sz w:val="21"/>
                <w:szCs w:val="21"/>
                <w:highlight w:val="none"/>
              </w:rPr>
            </w:pPr>
            <w:r>
              <w:rPr>
                <w:rFonts w:hint="eastAsia" w:ascii="宋体" w:hAnsi="宋体" w:eastAsia="宋体" w:cs="宋体"/>
                <w:bCs/>
                <w:sz w:val="21"/>
                <w:szCs w:val="21"/>
                <w:highlight w:val="none"/>
              </w:rPr>
              <w:t>0-</w:t>
            </w:r>
            <w:r>
              <w:rPr>
                <w:rFonts w:hint="eastAsia" w:ascii="宋体" w:hAnsi="宋体" w:eastAsia="宋体" w:cs="宋体"/>
                <w:bCs/>
                <w:sz w:val="21"/>
                <w:szCs w:val="21"/>
                <w:highlight w:val="none"/>
                <w:lang w:val="en-US" w:eastAsia="zh-CN"/>
              </w:rPr>
              <w:t>6</w:t>
            </w:r>
            <w:r>
              <w:rPr>
                <w:rFonts w:hint="eastAsia" w:ascii="宋体" w:hAnsi="宋体" w:eastAsia="宋体" w:cs="宋体"/>
                <w:bCs/>
                <w:sz w:val="21"/>
                <w:szCs w:val="21"/>
                <w:highlight w:val="none"/>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1" w:hRule="atLeast"/>
          <w:jc w:val="center"/>
        </w:trPr>
        <w:tc>
          <w:tcPr>
            <w:tcW w:w="732" w:type="dxa"/>
            <w:vMerge w:val="continue"/>
            <w:noWrap w:val="0"/>
            <w:vAlign w:val="center"/>
          </w:tcPr>
          <w:p>
            <w:pPr>
              <w:pStyle w:val="20"/>
              <w:spacing w:line="360" w:lineRule="auto"/>
              <w:ind w:left="0" w:leftChars="0" w:right="0" w:rightChars="0" w:firstLine="0" w:firstLineChars="0"/>
              <w:jc w:val="center"/>
              <w:outlineLvl w:val="1"/>
              <w:rPr>
                <w:rFonts w:hint="eastAsia" w:ascii="宋体" w:hAnsi="宋体" w:eastAsia="宋体" w:cs="宋体"/>
                <w:bCs/>
                <w:sz w:val="21"/>
                <w:szCs w:val="21"/>
                <w:highlight w:val="none"/>
              </w:rPr>
            </w:pPr>
          </w:p>
        </w:tc>
        <w:tc>
          <w:tcPr>
            <w:tcW w:w="1275" w:type="dxa"/>
            <w:vMerge w:val="continue"/>
            <w:noWrap w:val="0"/>
            <w:vAlign w:val="center"/>
          </w:tcPr>
          <w:p>
            <w:pPr>
              <w:pStyle w:val="20"/>
              <w:spacing w:line="360" w:lineRule="auto"/>
              <w:ind w:right="-10" w:firstLine="0"/>
              <w:outlineLvl w:val="1"/>
              <w:rPr>
                <w:rFonts w:hint="eastAsia" w:ascii="宋体" w:hAnsi="宋体" w:eastAsia="宋体" w:cs="宋体"/>
                <w:sz w:val="21"/>
                <w:szCs w:val="21"/>
                <w:highlight w:val="none"/>
              </w:rPr>
            </w:pPr>
          </w:p>
        </w:tc>
        <w:tc>
          <w:tcPr>
            <w:tcW w:w="6568" w:type="dxa"/>
            <w:noWrap w:val="0"/>
            <w:vAlign w:val="center"/>
          </w:tcPr>
          <w:p>
            <w:pPr>
              <w:pStyle w:val="20"/>
              <w:ind w:left="0" w:leftChars="0" w:right="-10" w:firstLine="0" w:firstLineChars="0"/>
              <w:outlineLvl w:val="1"/>
              <w:rPr>
                <w:rFonts w:hint="eastAsia" w:ascii="宋体" w:hAnsi="宋体" w:eastAsia="宋体" w:cs="宋体"/>
                <w:sz w:val="21"/>
                <w:szCs w:val="21"/>
                <w:highlight w:val="none"/>
              </w:rPr>
            </w:pPr>
            <w:r>
              <w:rPr>
                <w:rFonts w:hint="eastAsia" w:ascii="宋体" w:hAnsi="宋体" w:eastAsia="宋体" w:cs="宋体"/>
                <w:sz w:val="21"/>
                <w:szCs w:val="21"/>
                <w:highlight w:val="none"/>
              </w:rPr>
              <w:t>4、管理规章制度</w:t>
            </w:r>
          </w:p>
          <w:p>
            <w:pPr>
              <w:pStyle w:val="20"/>
              <w:ind w:left="0" w:leftChars="0" w:right="-10" w:firstLine="0" w:firstLineChars="0"/>
              <w:outlineLvl w:val="1"/>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rPr>
              <w:t>（1）</w:t>
            </w:r>
            <w:r>
              <w:rPr>
                <w:rFonts w:hint="eastAsia" w:ascii="宋体" w:hAnsi="宋体" w:eastAsia="宋体" w:cs="宋体"/>
                <w:sz w:val="21"/>
                <w:szCs w:val="21"/>
                <w:highlight w:val="none"/>
                <w:lang w:val="en-US" w:eastAsia="zh-CN"/>
              </w:rPr>
              <w:t>提供</w:t>
            </w:r>
            <w:r>
              <w:rPr>
                <w:rFonts w:hint="eastAsia" w:ascii="宋体" w:hAnsi="宋体" w:eastAsia="宋体" w:cs="宋体"/>
                <w:sz w:val="21"/>
                <w:szCs w:val="21"/>
                <w:highlight w:val="none"/>
              </w:rPr>
              <w:t>企业内部岗位责任制、人员考核制度及标准</w:t>
            </w: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lang w:val="en-US" w:eastAsia="zh-CN"/>
              </w:rPr>
              <w:t>公众制度</w:t>
            </w:r>
            <w:r>
              <w:rPr>
                <w:rFonts w:hint="eastAsia" w:ascii="宋体" w:hAnsi="宋体" w:eastAsia="宋体" w:cs="宋体"/>
                <w:sz w:val="21"/>
                <w:szCs w:val="21"/>
                <w:highlight w:val="none"/>
              </w:rPr>
              <w:t>等，要求具有健全的制度目录体系</w:t>
            </w:r>
            <w:r>
              <w:rPr>
                <w:rFonts w:hint="eastAsia" w:ascii="宋体" w:hAnsi="宋体" w:eastAsia="宋体" w:cs="宋体"/>
                <w:sz w:val="21"/>
                <w:szCs w:val="21"/>
                <w:highlight w:val="none"/>
                <w:lang w:eastAsia="zh-CN"/>
              </w:rPr>
              <w:t>；</w:t>
            </w:r>
          </w:p>
          <w:p>
            <w:pPr>
              <w:pStyle w:val="20"/>
              <w:ind w:left="0" w:leftChars="0" w:right="-10" w:firstLine="0" w:firstLineChars="0"/>
              <w:outlineLvl w:val="1"/>
              <w:rPr>
                <w:rFonts w:hint="eastAsia" w:ascii="宋体" w:hAnsi="宋体" w:eastAsia="宋体" w:cs="宋体"/>
                <w:sz w:val="21"/>
                <w:szCs w:val="21"/>
                <w:highlight w:val="none"/>
              </w:rPr>
            </w:pPr>
            <w:r>
              <w:rPr>
                <w:rFonts w:hint="eastAsia" w:ascii="宋体" w:hAnsi="宋体" w:eastAsia="宋体" w:cs="宋体"/>
                <w:sz w:val="21"/>
                <w:szCs w:val="21"/>
                <w:highlight w:val="none"/>
              </w:rPr>
              <w:t>（2）物业档案的建立与管理：</w:t>
            </w:r>
          </w:p>
          <w:p>
            <w:pPr>
              <w:pStyle w:val="20"/>
              <w:ind w:left="0" w:leftChars="0" w:right="-10" w:firstLine="0" w:firstLineChars="0"/>
              <w:outlineLvl w:val="1"/>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val="en-US" w:eastAsia="zh-CN"/>
              </w:rPr>
              <w:t>提供物业</w:t>
            </w:r>
            <w:r>
              <w:rPr>
                <w:rFonts w:hint="eastAsia" w:ascii="宋体" w:hAnsi="宋体" w:eastAsia="宋体" w:cs="宋体"/>
                <w:sz w:val="21"/>
                <w:szCs w:val="21"/>
                <w:highlight w:val="none"/>
              </w:rPr>
              <w:t>管理服务档案</w:t>
            </w:r>
            <w:r>
              <w:rPr>
                <w:rFonts w:hint="eastAsia" w:ascii="宋体" w:hAnsi="宋体" w:eastAsia="宋体" w:cs="宋体"/>
                <w:sz w:val="21"/>
                <w:szCs w:val="21"/>
                <w:highlight w:val="none"/>
                <w:lang w:val="en-US" w:eastAsia="zh-CN"/>
              </w:rPr>
              <w:t>管理方案</w:t>
            </w:r>
            <w:r>
              <w:rPr>
                <w:rFonts w:hint="eastAsia" w:ascii="宋体" w:hAnsi="宋体" w:eastAsia="宋体" w:cs="宋体"/>
                <w:sz w:val="21"/>
                <w:szCs w:val="21"/>
                <w:highlight w:val="none"/>
              </w:rPr>
              <w:t>。要求符合规范、体现高标准，科学规范、详细完整</w:t>
            </w:r>
            <w:r>
              <w:rPr>
                <w:rFonts w:hint="eastAsia" w:ascii="宋体" w:hAnsi="宋体" w:eastAsia="宋体" w:cs="宋体"/>
                <w:sz w:val="21"/>
                <w:szCs w:val="21"/>
                <w:highlight w:val="none"/>
                <w:lang w:eastAsia="zh-CN"/>
              </w:rPr>
              <w:t>；</w:t>
            </w:r>
          </w:p>
        </w:tc>
        <w:tc>
          <w:tcPr>
            <w:tcW w:w="765" w:type="dxa"/>
            <w:noWrap w:val="0"/>
            <w:vAlign w:val="center"/>
          </w:tcPr>
          <w:p>
            <w:pPr>
              <w:pStyle w:val="20"/>
              <w:spacing w:line="360" w:lineRule="auto"/>
              <w:ind w:left="0" w:leftChars="0" w:right="0" w:rightChars="0" w:firstLine="0" w:firstLineChars="0"/>
              <w:jc w:val="center"/>
              <w:outlineLvl w:val="1"/>
              <w:rPr>
                <w:rFonts w:hint="eastAsia" w:ascii="宋体" w:hAnsi="宋体" w:eastAsia="宋体" w:cs="宋体"/>
                <w:bCs/>
                <w:sz w:val="21"/>
                <w:szCs w:val="21"/>
                <w:highlight w:val="none"/>
              </w:rPr>
            </w:pPr>
            <w:r>
              <w:rPr>
                <w:rFonts w:hint="eastAsia" w:ascii="宋体" w:hAnsi="宋体" w:eastAsia="宋体" w:cs="宋体"/>
                <w:bCs/>
                <w:sz w:val="21"/>
                <w:szCs w:val="21"/>
                <w:highlight w:val="none"/>
              </w:rPr>
              <w:t>0-</w:t>
            </w:r>
            <w:r>
              <w:rPr>
                <w:rFonts w:hint="eastAsia" w:ascii="宋体" w:hAnsi="宋体" w:eastAsia="宋体" w:cs="宋体"/>
                <w:bCs/>
                <w:sz w:val="21"/>
                <w:szCs w:val="21"/>
                <w:highlight w:val="none"/>
                <w:lang w:val="en-US" w:eastAsia="zh-CN"/>
              </w:rPr>
              <w:t>4</w:t>
            </w:r>
            <w:r>
              <w:rPr>
                <w:rFonts w:hint="eastAsia" w:ascii="宋体" w:hAnsi="宋体" w:eastAsia="宋体" w:cs="宋体"/>
                <w:bCs/>
                <w:sz w:val="21"/>
                <w:szCs w:val="21"/>
                <w:highlight w:val="none"/>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3" w:hRule="atLeast"/>
          <w:jc w:val="center"/>
        </w:trPr>
        <w:tc>
          <w:tcPr>
            <w:tcW w:w="732" w:type="dxa"/>
            <w:vMerge w:val="continue"/>
            <w:noWrap w:val="0"/>
            <w:vAlign w:val="center"/>
          </w:tcPr>
          <w:p>
            <w:pPr>
              <w:pStyle w:val="20"/>
              <w:spacing w:line="360" w:lineRule="auto"/>
              <w:ind w:left="0" w:leftChars="0" w:right="0" w:rightChars="0" w:firstLine="0" w:firstLineChars="0"/>
              <w:jc w:val="center"/>
              <w:outlineLvl w:val="1"/>
              <w:rPr>
                <w:rFonts w:hint="eastAsia" w:ascii="宋体" w:hAnsi="宋体" w:eastAsia="宋体" w:cs="宋体"/>
                <w:bCs/>
                <w:sz w:val="21"/>
                <w:szCs w:val="21"/>
                <w:highlight w:val="none"/>
              </w:rPr>
            </w:pPr>
          </w:p>
        </w:tc>
        <w:tc>
          <w:tcPr>
            <w:tcW w:w="1275" w:type="dxa"/>
            <w:vMerge w:val="continue"/>
            <w:noWrap w:val="0"/>
            <w:vAlign w:val="center"/>
          </w:tcPr>
          <w:p>
            <w:pPr>
              <w:pStyle w:val="20"/>
              <w:spacing w:line="360" w:lineRule="auto"/>
              <w:ind w:right="-10" w:firstLine="0"/>
              <w:outlineLvl w:val="1"/>
              <w:rPr>
                <w:rFonts w:hint="eastAsia" w:ascii="宋体" w:hAnsi="宋体" w:eastAsia="宋体" w:cs="宋体"/>
                <w:sz w:val="21"/>
                <w:szCs w:val="21"/>
                <w:highlight w:val="none"/>
              </w:rPr>
            </w:pPr>
          </w:p>
        </w:tc>
        <w:tc>
          <w:tcPr>
            <w:tcW w:w="6568" w:type="dxa"/>
            <w:noWrap w:val="0"/>
            <w:vAlign w:val="center"/>
          </w:tcPr>
          <w:p>
            <w:pPr>
              <w:pStyle w:val="20"/>
              <w:spacing w:line="360" w:lineRule="auto"/>
              <w:ind w:left="0" w:leftChars="0" w:right="-10" w:firstLine="0" w:firstLineChars="0"/>
              <w:outlineLvl w:val="1"/>
              <w:rPr>
                <w:rFonts w:hint="eastAsia" w:ascii="宋体" w:hAnsi="宋体" w:eastAsia="宋体" w:cs="宋体"/>
                <w:sz w:val="21"/>
                <w:szCs w:val="21"/>
                <w:highlight w:val="none"/>
              </w:rPr>
            </w:pPr>
            <w:r>
              <w:rPr>
                <w:rFonts w:hint="eastAsia" w:ascii="宋体" w:hAnsi="宋体" w:eastAsia="宋体" w:cs="宋体"/>
                <w:sz w:val="21"/>
                <w:szCs w:val="21"/>
                <w:highlight w:val="none"/>
              </w:rPr>
              <w:t>5、管理服务方案</w:t>
            </w:r>
          </w:p>
          <w:p>
            <w:pPr>
              <w:pStyle w:val="20"/>
              <w:spacing w:line="360" w:lineRule="auto"/>
              <w:ind w:left="0" w:leftChars="0" w:right="-10" w:firstLine="0" w:firstLineChars="0"/>
              <w:outlineLvl w:val="1"/>
              <w:rPr>
                <w:rFonts w:hint="eastAsia" w:ascii="宋体" w:hAnsi="宋体" w:eastAsia="宋体" w:cs="宋体"/>
                <w:sz w:val="21"/>
                <w:szCs w:val="21"/>
                <w:highlight w:val="none"/>
              </w:rPr>
            </w:pPr>
            <w:r>
              <w:rPr>
                <w:rFonts w:hint="eastAsia" w:ascii="宋体" w:hAnsi="宋体" w:eastAsia="宋体" w:cs="宋体"/>
                <w:sz w:val="21"/>
                <w:szCs w:val="21"/>
                <w:highlight w:val="none"/>
              </w:rPr>
              <w:t>根据投标供应商针对项目物业管理</w:t>
            </w: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lang w:val="en-US" w:eastAsia="zh-CN"/>
              </w:rPr>
              <w:t>提出秩序维护、保洁服务、公共设施设备管理、客户服务、园林绿化养护、</w:t>
            </w:r>
            <w:r>
              <w:rPr>
                <w:rFonts w:hint="eastAsia" w:ascii="宋体" w:hAnsi="宋体" w:eastAsia="宋体" w:cs="宋体"/>
                <w:sz w:val="21"/>
                <w:szCs w:val="21"/>
                <w:highlight w:val="none"/>
              </w:rPr>
              <w:t>物业接管方案</w:t>
            </w:r>
            <w:r>
              <w:rPr>
                <w:rFonts w:hint="eastAsia" w:ascii="宋体" w:hAnsi="宋体" w:eastAsia="宋体" w:cs="宋体"/>
                <w:sz w:val="21"/>
                <w:szCs w:val="21"/>
                <w:highlight w:val="none"/>
                <w:lang w:val="en-US" w:eastAsia="zh-CN"/>
              </w:rPr>
              <w:t>等</w:t>
            </w:r>
            <w:r>
              <w:rPr>
                <w:rFonts w:hint="eastAsia" w:ascii="宋体" w:hAnsi="宋体" w:eastAsia="宋体" w:cs="宋体"/>
                <w:sz w:val="21"/>
                <w:szCs w:val="21"/>
                <w:highlight w:val="none"/>
              </w:rPr>
              <w:t>方案的优化程度、合理、可行、先进等情况进行评分</w:t>
            </w:r>
          </w:p>
        </w:tc>
        <w:tc>
          <w:tcPr>
            <w:tcW w:w="765" w:type="dxa"/>
            <w:noWrap w:val="0"/>
            <w:vAlign w:val="center"/>
          </w:tcPr>
          <w:p>
            <w:pPr>
              <w:pStyle w:val="20"/>
              <w:spacing w:line="360" w:lineRule="auto"/>
              <w:ind w:left="0" w:leftChars="0" w:right="0" w:rightChars="0" w:firstLine="0" w:firstLineChars="0"/>
              <w:jc w:val="center"/>
              <w:outlineLvl w:val="1"/>
              <w:rPr>
                <w:rFonts w:hint="eastAsia" w:ascii="宋体" w:hAnsi="宋体" w:eastAsia="宋体" w:cs="宋体"/>
                <w:bCs/>
                <w:sz w:val="21"/>
                <w:szCs w:val="21"/>
                <w:highlight w:val="none"/>
              </w:rPr>
            </w:pPr>
            <w:r>
              <w:rPr>
                <w:rFonts w:hint="eastAsia" w:ascii="宋体" w:hAnsi="宋体" w:eastAsia="宋体" w:cs="宋体"/>
                <w:bCs/>
                <w:sz w:val="21"/>
                <w:szCs w:val="21"/>
                <w:highlight w:val="none"/>
              </w:rPr>
              <w:t>0-</w:t>
            </w:r>
            <w:r>
              <w:rPr>
                <w:rFonts w:hint="eastAsia" w:ascii="宋体" w:hAnsi="宋体" w:eastAsia="宋体" w:cs="宋体"/>
                <w:bCs/>
                <w:sz w:val="21"/>
                <w:szCs w:val="21"/>
                <w:highlight w:val="none"/>
                <w:lang w:val="en-US" w:eastAsia="zh-CN"/>
              </w:rPr>
              <w:t>12</w:t>
            </w:r>
            <w:r>
              <w:rPr>
                <w:rFonts w:hint="eastAsia" w:ascii="宋体" w:hAnsi="宋体" w:eastAsia="宋体" w:cs="宋体"/>
                <w:bCs/>
                <w:sz w:val="21"/>
                <w:szCs w:val="21"/>
                <w:highlight w:val="none"/>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3" w:hRule="atLeast"/>
          <w:jc w:val="center"/>
        </w:trPr>
        <w:tc>
          <w:tcPr>
            <w:tcW w:w="732" w:type="dxa"/>
            <w:vMerge w:val="continue"/>
            <w:noWrap w:val="0"/>
            <w:vAlign w:val="center"/>
          </w:tcPr>
          <w:p>
            <w:pPr>
              <w:pStyle w:val="20"/>
              <w:spacing w:line="360" w:lineRule="auto"/>
              <w:ind w:left="0" w:leftChars="0" w:right="0" w:rightChars="0" w:firstLine="0" w:firstLineChars="0"/>
              <w:jc w:val="center"/>
              <w:outlineLvl w:val="1"/>
              <w:rPr>
                <w:rFonts w:hint="eastAsia" w:ascii="宋体" w:hAnsi="宋体" w:eastAsia="宋体" w:cs="宋体"/>
                <w:bCs/>
                <w:sz w:val="21"/>
                <w:szCs w:val="21"/>
                <w:highlight w:val="none"/>
              </w:rPr>
            </w:pPr>
          </w:p>
        </w:tc>
        <w:tc>
          <w:tcPr>
            <w:tcW w:w="1275" w:type="dxa"/>
            <w:vMerge w:val="continue"/>
            <w:noWrap w:val="0"/>
            <w:vAlign w:val="center"/>
          </w:tcPr>
          <w:p>
            <w:pPr>
              <w:ind w:firstLine="315" w:firstLineChars="150"/>
              <w:outlineLvl w:val="1"/>
              <w:rPr>
                <w:rFonts w:hint="eastAsia" w:ascii="宋体" w:hAnsi="宋体" w:eastAsia="宋体" w:cs="宋体"/>
                <w:sz w:val="21"/>
                <w:szCs w:val="21"/>
                <w:highlight w:val="none"/>
              </w:rPr>
            </w:pPr>
          </w:p>
        </w:tc>
        <w:tc>
          <w:tcPr>
            <w:tcW w:w="6568" w:type="dxa"/>
            <w:noWrap w:val="0"/>
            <w:vAlign w:val="center"/>
          </w:tcPr>
          <w:p>
            <w:pPr>
              <w:ind w:left="0" w:leftChars="0" w:firstLine="0" w:firstLineChars="0"/>
              <w:outlineLvl w:val="1"/>
              <w:rPr>
                <w:rFonts w:hint="eastAsia" w:ascii="宋体" w:hAnsi="宋体" w:eastAsia="宋体" w:cs="宋体"/>
                <w:sz w:val="21"/>
                <w:szCs w:val="21"/>
                <w:lang w:val="en-US" w:eastAsia="zh-CN"/>
              </w:rPr>
            </w:pPr>
            <w:r>
              <w:rPr>
                <w:rFonts w:hint="eastAsia" w:ascii="宋体" w:hAnsi="宋体" w:eastAsia="宋体" w:cs="宋体"/>
                <w:sz w:val="21"/>
                <w:szCs w:val="21"/>
              </w:rPr>
              <w:t>6、智能化系统</w:t>
            </w:r>
            <w:r>
              <w:rPr>
                <w:rFonts w:hint="eastAsia" w:ascii="宋体" w:hAnsi="宋体" w:eastAsia="宋体" w:cs="宋体"/>
                <w:sz w:val="21"/>
                <w:szCs w:val="21"/>
                <w:lang w:val="en-US" w:eastAsia="zh-CN"/>
              </w:rPr>
              <w:t>应用</w:t>
            </w:r>
          </w:p>
          <w:p>
            <w:pPr>
              <w:pStyle w:val="2"/>
              <w:ind w:left="0" w:leftChars="0" w:firstLine="0" w:firstLineChars="0"/>
              <w:rPr>
                <w:rFonts w:hint="eastAsia" w:ascii="宋体" w:hAnsi="宋体" w:eastAsia="宋体" w:cs="宋体"/>
                <w:sz w:val="21"/>
                <w:szCs w:val="21"/>
              </w:rPr>
            </w:pPr>
            <w:r>
              <w:rPr>
                <w:rFonts w:hint="eastAsia" w:ascii="宋体" w:hAnsi="宋体" w:eastAsia="宋体" w:cs="宋体"/>
                <w:sz w:val="21"/>
                <w:szCs w:val="21"/>
                <w:highlight w:val="none"/>
              </w:rPr>
              <w:t>根据投标供应商针对项目</w:t>
            </w:r>
            <w:r>
              <w:rPr>
                <w:rFonts w:hint="eastAsia" w:ascii="宋体" w:hAnsi="宋体" w:eastAsia="宋体" w:cs="宋体"/>
                <w:sz w:val="21"/>
                <w:szCs w:val="21"/>
                <w:highlight w:val="none"/>
                <w:lang w:val="en-US" w:eastAsia="zh-CN"/>
              </w:rPr>
              <w:t>提供智能化系统应用管理</w:t>
            </w:r>
            <w:r>
              <w:rPr>
                <w:rFonts w:hint="eastAsia" w:ascii="宋体" w:hAnsi="宋体" w:eastAsia="宋体" w:cs="宋体"/>
                <w:sz w:val="21"/>
                <w:szCs w:val="21"/>
                <w:highlight w:val="none"/>
              </w:rPr>
              <w:t>方案的优化程度、合理、可行、先进等情况进行评分</w:t>
            </w:r>
          </w:p>
        </w:tc>
        <w:tc>
          <w:tcPr>
            <w:tcW w:w="765" w:type="dxa"/>
            <w:noWrap w:val="0"/>
            <w:vAlign w:val="center"/>
          </w:tcPr>
          <w:p>
            <w:pPr>
              <w:pStyle w:val="20"/>
              <w:spacing w:line="360" w:lineRule="auto"/>
              <w:ind w:left="0" w:leftChars="0" w:right="0" w:rightChars="0" w:firstLine="0" w:firstLineChars="0"/>
              <w:jc w:val="center"/>
              <w:outlineLvl w:val="1"/>
              <w:rPr>
                <w:rFonts w:hint="eastAsia" w:ascii="宋体" w:hAnsi="宋体" w:eastAsia="宋体" w:cs="宋体"/>
                <w:bCs/>
                <w:sz w:val="21"/>
                <w:szCs w:val="21"/>
                <w:highlight w:val="none"/>
              </w:rPr>
            </w:pPr>
            <w:r>
              <w:rPr>
                <w:rFonts w:hint="eastAsia" w:ascii="宋体" w:hAnsi="宋体" w:eastAsia="宋体" w:cs="宋体"/>
                <w:bCs/>
                <w:sz w:val="21"/>
                <w:szCs w:val="21"/>
                <w:highlight w:val="none"/>
              </w:rPr>
              <w:t>0-</w:t>
            </w:r>
            <w:r>
              <w:rPr>
                <w:rFonts w:hint="eastAsia" w:ascii="宋体" w:hAnsi="宋体" w:eastAsia="宋体" w:cs="宋体"/>
                <w:bCs/>
                <w:sz w:val="21"/>
                <w:szCs w:val="21"/>
                <w:highlight w:val="none"/>
                <w:lang w:val="en-US" w:eastAsia="zh-CN"/>
              </w:rPr>
              <w:t>6</w:t>
            </w:r>
            <w:r>
              <w:rPr>
                <w:rFonts w:hint="eastAsia" w:ascii="宋体" w:hAnsi="宋体" w:eastAsia="宋体" w:cs="宋体"/>
                <w:bCs/>
                <w:sz w:val="21"/>
                <w:szCs w:val="21"/>
                <w:highlight w:val="none"/>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3" w:hRule="atLeast"/>
          <w:jc w:val="center"/>
        </w:trPr>
        <w:tc>
          <w:tcPr>
            <w:tcW w:w="732" w:type="dxa"/>
            <w:vMerge w:val="continue"/>
            <w:noWrap w:val="0"/>
            <w:vAlign w:val="center"/>
          </w:tcPr>
          <w:p>
            <w:pPr>
              <w:pStyle w:val="20"/>
              <w:spacing w:line="360" w:lineRule="auto"/>
              <w:ind w:left="0" w:leftChars="0" w:right="0" w:rightChars="0" w:firstLine="0" w:firstLineChars="0"/>
              <w:jc w:val="center"/>
              <w:outlineLvl w:val="1"/>
              <w:rPr>
                <w:rFonts w:hint="eastAsia" w:ascii="宋体" w:hAnsi="宋体" w:eastAsia="宋体" w:cs="宋体"/>
                <w:bCs/>
                <w:sz w:val="21"/>
                <w:szCs w:val="21"/>
                <w:highlight w:val="none"/>
              </w:rPr>
            </w:pPr>
          </w:p>
        </w:tc>
        <w:tc>
          <w:tcPr>
            <w:tcW w:w="1275" w:type="dxa"/>
            <w:vMerge w:val="continue"/>
            <w:noWrap w:val="0"/>
            <w:vAlign w:val="center"/>
          </w:tcPr>
          <w:p>
            <w:pPr>
              <w:ind w:firstLine="315" w:firstLineChars="150"/>
              <w:outlineLvl w:val="1"/>
              <w:rPr>
                <w:rFonts w:hint="eastAsia" w:ascii="宋体" w:hAnsi="宋体" w:eastAsia="宋体" w:cs="宋体"/>
                <w:sz w:val="21"/>
                <w:szCs w:val="21"/>
                <w:highlight w:val="none"/>
              </w:rPr>
            </w:pPr>
          </w:p>
        </w:tc>
        <w:tc>
          <w:tcPr>
            <w:tcW w:w="6568" w:type="dxa"/>
            <w:noWrap w:val="0"/>
            <w:vAlign w:val="center"/>
          </w:tcPr>
          <w:p>
            <w:pPr>
              <w:ind w:left="0" w:leftChars="0" w:firstLine="0" w:firstLineChars="0"/>
              <w:outlineLvl w:val="1"/>
              <w:rPr>
                <w:rFonts w:hint="eastAsia" w:ascii="宋体" w:hAnsi="宋体" w:eastAsia="宋体" w:cs="宋体"/>
                <w:sz w:val="21"/>
                <w:szCs w:val="21"/>
                <w:highlight w:val="none"/>
              </w:rPr>
            </w:pPr>
            <w:r>
              <w:rPr>
                <w:rFonts w:hint="eastAsia" w:ascii="宋体" w:hAnsi="宋体" w:eastAsia="宋体" w:cs="宋体"/>
                <w:sz w:val="21"/>
                <w:szCs w:val="21"/>
                <w:highlight w:val="none"/>
              </w:rPr>
              <w:t>7、应急预案</w:t>
            </w:r>
          </w:p>
          <w:p>
            <w:pPr>
              <w:ind w:left="0" w:leftChars="0" w:firstLine="0" w:firstLineChars="0"/>
              <w:outlineLvl w:val="1"/>
              <w:rPr>
                <w:rFonts w:hint="eastAsia" w:ascii="宋体" w:hAnsi="宋体" w:eastAsia="宋体" w:cs="宋体"/>
                <w:sz w:val="21"/>
                <w:szCs w:val="21"/>
                <w:highlight w:val="none"/>
              </w:rPr>
            </w:pPr>
            <w:r>
              <w:rPr>
                <w:rFonts w:hint="eastAsia" w:ascii="宋体" w:hAnsi="宋体" w:eastAsia="宋体" w:cs="宋体"/>
                <w:sz w:val="21"/>
                <w:szCs w:val="21"/>
                <w:highlight w:val="none"/>
              </w:rPr>
              <w:t>根据物业管理服务规律和可能发生的紧急事件，提出应急管理预案。预案应健全，思路可行，处理适宜。</w:t>
            </w:r>
          </w:p>
        </w:tc>
        <w:tc>
          <w:tcPr>
            <w:tcW w:w="765" w:type="dxa"/>
            <w:noWrap w:val="0"/>
            <w:vAlign w:val="center"/>
          </w:tcPr>
          <w:p>
            <w:pPr>
              <w:pStyle w:val="20"/>
              <w:spacing w:line="360" w:lineRule="auto"/>
              <w:ind w:left="0" w:leftChars="0" w:right="0" w:rightChars="0" w:firstLine="0" w:firstLineChars="0"/>
              <w:jc w:val="center"/>
              <w:outlineLvl w:val="1"/>
              <w:rPr>
                <w:rFonts w:hint="eastAsia" w:ascii="宋体" w:hAnsi="宋体" w:eastAsia="宋体" w:cs="宋体"/>
                <w:bCs/>
                <w:sz w:val="21"/>
                <w:szCs w:val="21"/>
                <w:highlight w:val="none"/>
              </w:rPr>
            </w:pPr>
            <w:r>
              <w:rPr>
                <w:rFonts w:hint="eastAsia" w:ascii="宋体" w:hAnsi="宋体" w:eastAsia="宋体" w:cs="宋体"/>
                <w:bCs/>
                <w:sz w:val="21"/>
                <w:szCs w:val="21"/>
                <w:highlight w:val="none"/>
              </w:rPr>
              <w:t>0-</w:t>
            </w:r>
            <w:r>
              <w:rPr>
                <w:rFonts w:hint="eastAsia" w:ascii="宋体" w:hAnsi="宋体" w:eastAsia="宋体" w:cs="宋体"/>
                <w:bCs/>
                <w:sz w:val="21"/>
                <w:szCs w:val="21"/>
                <w:highlight w:val="none"/>
                <w:lang w:val="en-US" w:eastAsia="zh-CN"/>
              </w:rPr>
              <w:t>6</w:t>
            </w:r>
            <w:r>
              <w:rPr>
                <w:rFonts w:hint="eastAsia" w:ascii="宋体" w:hAnsi="宋体" w:eastAsia="宋体" w:cs="宋体"/>
                <w:bCs/>
                <w:sz w:val="21"/>
                <w:szCs w:val="21"/>
                <w:highlight w:val="none"/>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3" w:hRule="atLeast"/>
          <w:jc w:val="center"/>
        </w:trPr>
        <w:tc>
          <w:tcPr>
            <w:tcW w:w="732" w:type="dxa"/>
            <w:vMerge w:val="continue"/>
            <w:noWrap w:val="0"/>
            <w:vAlign w:val="center"/>
          </w:tcPr>
          <w:p>
            <w:pPr>
              <w:pStyle w:val="20"/>
              <w:spacing w:line="360" w:lineRule="auto"/>
              <w:ind w:left="0" w:leftChars="0" w:right="0" w:rightChars="0" w:firstLine="0" w:firstLineChars="0"/>
              <w:jc w:val="center"/>
              <w:outlineLvl w:val="1"/>
              <w:rPr>
                <w:rFonts w:hint="eastAsia" w:ascii="宋体" w:hAnsi="宋体" w:eastAsia="宋体" w:cs="宋体"/>
                <w:bCs/>
                <w:sz w:val="21"/>
                <w:szCs w:val="21"/>
                <w:highlight w:val="none"/>
              </w:rPr>
            </w:pPr>
          </w:p>
        </w:tc>
        <w:tc>
          <w:tcPr>
            <w:tcW w:w="1275" w:type="dxa"/>
            <w:vMerge w:val="continue"/>
            <w:noWrap w:val="0"/>
            <w:vAlign w:val="center"/>
          </w:tcPr>
          <w:p>
            <w:pPr>
              <w:ind w:firstLine="315" w:firstLineChars="150"/>
              <w:outlineLvl w:val="1"/>
              <w:rPr>
                <w:rFonts w:hint="eastAsia" w:ascii="宋体" w:hAnsi="宋体" w:eastAsia="宋体" w:cs="宋体"/>
                <w:sz w:val="21"/>
                <w:szCs w:val="21"/>
                <w:highlight w:val="none"/>
              </w:rPr>
            </w:pPr>
          </w:p>
        </w:tc>
        <w:tc>
          <w:tcPr>
            <w:tcW w:w="6568" w:type="dxa"/>
            <w:noWrap w:val="0"/>
            <w:vAlign w:val="center"/>
          </w:tcPr>
          <w:p>
            <w:pPr>
              <w:pStyle w:val="20"/>
              <w:numPr>
                <w:ilvl w:val="0"/>
                <w:numId w:val="0"/>
              </w:numPr>
              <w:spacing w:line="360" w:lineRule="auto"/>
              <w:outlineLvl w:val="1"/>
              <w:rPr>
                <w:rFonts w:hint="eastAsia" w:ascii="宋体" w:hAnsi="宋体" w:eastAsia="宋体" w:cs="宋体"/>
                <w:b/>
                <w:bCs/>
                <w:sz w:val="21"/>
                <w:szCs w:val="21"/>
                <w:highlight w:val="none"/>
              </w:rPr>
            </w:pPr>
            <w:r>
              <w:rPr>
                <w:rFonts w:hint="eastAsia" w:ascii="宋体" w:hAnsi="宋体" w:eastAsia="宋体" w:cs="宋体"/>
                <w:b/>
                <w:bCs/>
                <w:sz w:val="21"/>
                <w:szCs w:val="21"/>
                <w:highlight w:val="none"/>
              </w:rPr>
              <w:t>拟为本项目配备的主要管理人员要求：</w:t>
            </w:r>
          </w:p>
          <w:p>
            <w:pPr>
              <w:pStyle w:val="91"/>
              <w:spacing w:before="2" w:line="410" w:lineRule="atLeast"/>
              <w:ind w:right="117"/>
              <w:jc w:val="left"/>
              <w:rPr>
                <w:rFonts w:hint="eastAsia" w:ascii="宋体" w:hAnsi="宋体" w:eastAsia="宋体" w:cs="宋体"/>
                <w:b/>
                <w:bCs/>
                <w:sz w:val="21"/>
                <w:szCs w:val="21"/>
                <w:highlight w:val="none"/>
              </w:rPr>
            </w:pPr>
            <w:r>
              <w:rPr>
                <w:rFonts w:hint="eastAsia" w:ascii="宋体" w:hAnsi="宋体" w:eastAsia="宋体" w:cs="宋体"/>
                <w:b/>
                <w:bCs/>
                <w:sz w:val="21"/>
                <w:szCs w:val="21"/>
                <w:highlight w:val="none"/>
                <w:lang w:val="en-US" w:bidi="ar-SA"/>
              </w:rPr>
              <w:t>（1）项目经理，</w:t>
            </w:r>
            <w:r>
              <w:rPr>
                <w:rFonts w:hint="eastAsia" w:ascii="宋体" w:hAnsi="宋体" w:eastAsia="宋体" w:cs="宋体"/>
                <w:b/>
                <w:bCs/>
                <w:sz w:val="21"/>
                <w:szCs w:val="21"/>
                <w:highlight w:val="none"/>
                <w:lang w:val="en-US" w:eastAsia="zh-CN" w:bidi="ar-SA"/>
              </w:rPr>
              <w:t>年龄不超过40岁，具有三年以上工作经验</w:t>
            </w:r>
            <w:r>
              <w:rPr>
                <w:rFonts w:hint="eastAsia" w:ascii="宋体" w:hAnsi="宋体" w:eastAsia="宋体" w:cs="宋体"/>
                <w:b/>
                <w:bCs/>
                <w:sz w:val="21"/>
                <w:szCs w:val="21"/>
                <w:highlight w:val="none"/>
              </w:rPr>
              <w:t>：</w:t>
            </w:r>
          </w:p>
          <w:p>
            <w:pPr>
              <w:pStyle w:val="91"/>
              <w:spacing w:before="2" w:line="410" w:lineRule="atLeast"/>
              <w:ind w:right="117"/>
              <w:jc w:val="left"/>
              <w:rPr>
                <w:rFonts w:hint="eastAsia" w:ascii="宋体" w:hAnsi="宋体" w:eastAsia="宋体" w:cs="宋体"/>
                <w:sz w:val="21"/>
                <w:szCs w:val="21"/>
                <w:highlight w:val="none"/>
              </w:rPr>
            </w:pPr>
            <w:r>
              <w:rPr>
                <w:rFonts w:hint="eastAsia" w:ascii="宋体" w:hAnsi="宋体" w:eastAsia="宋体" w:cs="宋体"/>
                <w:sz w:val="21"/>
                <w:szCs w:val="21"/>
                <w:highlight w:val="none"/>
              </w:rPr>
              <w:t>①具有全国物业管理企业经理证，得</w:t>
            </w:r>
            <w:r>
              <w:rPr>
                <w:rFonts w:hint="eastAsia" w:ascii="宋体" w:hAnsi="宋体" w:eastAsia="宋体" w:cs="宋体"/>
                <w:sz w:val="21"/>
                <w:szCs w:val="21"/>
                <w:highlight w:val="none"/>
                <w:lang w:val="en-US" w:eastAsia="zh-CN"/>
              </w:rPr>
              <w:t>1</w:t>
            </w:r>
            <w:r>
              <w:rPr>
                <w:rFonts w:hint="eastAsia" w:ascii="宋体" w:hAnsi="宋体" w:eastAsia="宋体" w:cs="宋体"/>
                <w:sz w:val="21"/>
                <w:szCs w:val="21"/>
                <w:highlight w:val="none"/>
              </w:rPr>
              <w:t>分；</w:t>
            </w:r>
          </w:p>
          <w:p>
            <w:pPr>
              <w:pStyle w:val="91"/>
              <w:spacing w:before="2" w:line="410" w:lineRule="atLeast"/>
              <w:ind w:right="117"/>
              <w:jc w:val="left"/>
              <w:rPr>
                <w:rFonts w:hint="eastAsia" w:ascii="宋体" w:hAnsi="宋体" w:eastAsia="宋体" w:cs="宋体"/>
                <w:sz w:val="21"/>
                <w:szCs w:val="21"/>
                <w:highlight w:val="none"/>
              </w:rPr>
            </w:pPr>
            <w:r>
              <w:rPr>
                <w:rFonts w:hint="eastAsia" w:ascii="宋体" w:hAnsi="宋体" w:eastAsia="宋体" w:cs="宋体"/>
                <w:sz w:val="21"/>
                <w:szCs w:val="21"/>
                <w:highlight w:val="none"/>
              </w:rPr>
              <w:t>②具有人社部门颁发的中级及以上职称证书，得</w:t>
            </w:r>
            <w:r>
              <w:rPr>
                <w:rFonts w:hint="eastAsia" w:ascii="宋体" w:hAnsi="宋体" w:eastAsia="宋体" w:cs="宋体"/>
                <w:sz w:val="21"/>
                <w:szCs w:val="21"/>
                <w:highlight w:val="none"/>
                <w:lang w:val="en-US"/>
              </w:rPr>
              <w:t>2</w:t>
            </w:r>
            <w:r>
              <w:rPr>
                <w:rFonts w:hint="eastAsia" w:ascii="宋体" w:hAnsi="宋体" w:eastAsia="宋体" w:cs="宋体"/>
                <w:sz w:val="21"/>
                <w:szCs w:val="21"/>
                <w:highlight w:val="none"/>
              </w:rPr>
              <w:t>分；</w:t>
            </w:r>
          </w:p>
          <w:p>
            <w:pPr>
              <w:pStyle w:val="91"/>
              <w:spacing w:before="2" w:line="410" w:lineRule="atLeast"/>
              <w:ind w:right="117"/>
              <w:jc w:val="left"/>
              <w:rPr>
                <w:rFonts w:hint="eastAsia" w:ascii="宋体" w:hAnsi="宋体" w:eastAsia="宋体" w:cs="宋体"/>
                <w:sz w:val="21"/>
                <w:szCs w:val="21"/>
                <w:highlight w:val="none"/>
                <w:lang w:val="en-US"/>
              </w:rPr>
            </w:pPr>
            <w:r>
              <w:rPr>
                <w:rFonts w:hint="eastAsia" w:ascii="宋体" w:hAnsi="宋体" w:eastAsia="宋体" w:cs="宋体"/>
                <w:sz w:val="21"/>
                <w:szCs w:val="21"/>
                <w:highlight w:val="none"/>
              </w:rPr>
              <w:t>③具有</w:t>
            </w:r>
            <w:r>
              <w:rPr>
                <w:rFonts w:hint="eastAsia" w:ascii="宋体" w:hAnsi="宋体" w:eastAsia="宋体" w:cs="宋体"/>
                <w:sz w:val="21"/>
                <w:szCs w:val="21"/>
                <w:highlight w:val="none"/>
                <w:lang w:val="en-US"/>
              </w:rPr>
              <w:t>全日制本科及以上学历</w:t>
            </w:r>
            <w:r>
              <w:rPr>
                <w:rFonts w:hint="eastAsia" w:ascii="宋体" w:hAnsi="宋体" w:eastAsia="宋体" w:cs="宋体"/>
                <w:sz w:val="21"/>
                <w:szCs w:val="21"/>
                <w:highlight w:val="none"/>
                <w:lang w:val="en-US" w:eastAsia="zh-CN"/>
              </w:rPr>
              <w:t>且为中共党员</w:t>
            </w:r>
            <w:r>
              <w:rPr>
                <w:rFonts w:hint="eastAsia" w:ascii="宋体" w:hAnsi="宋体" w:eastAsia="宋体" w:cs="宋体"/>
                <w:sz w:val="21"/>
                <w:szCs w:val="21"/>
                <w:highlight w:val="none"/>
              </w:rPr>
              <w:t>，</w:t>
            </w:r>
            <w:r>
              <w:rPr>
                <w:rFonts w:hint="eastAsia" w:ascii="宋体" w:hAnsi="宋体" w:eastAsia="宋体" w:cs="宋体"/>
                <w:sz w:val="21"/>
                <w:szCs w:val="21"/>
                <w:highlight w:val="none"/>
                <w:lang w:val="en-US" w:eastAsia="zh-CN"/>
              </w:rPr>
              <w:t>得</w:t>
            </w:r>
            <w:r>
              <w:rPr>
                <w:rFonts w:hint="eastAsia" w:ascii="宋体" w:hAnsi="宋体" w:eastAsia="宋体" w:cs="宋体"/>
                <w:sz w:val="21"/>
                <w:szCs w:val="21"/>
                <w:highlight w:val="none"/>
                <w:lang w:val="en-US"/>
              </w:rPr>
              <w:t>2分；</w:t>
            </w:r>
          </w:p>
          <w:p>
            <w:pPr>
              <w:pStyle w:val="91"/>
              <w:spacing w:before="2" w:line="410" w:lineRule="atLeast"/>
              <w:ind w:right="117"/>
              <w:jc w:val="left"/>
              <w:rPr>
                <w:rFonts w:hint="eastAsia" w:ascii="宋体" w:hAnsi="宋体" w:eastAsia="宋体" w:cs="宋体"/>
                <w:b/>
                <w:bCs/>
                <w:sz w:val="21"/>
                <w:szCs w:val="21"/>
                <w:highlight w:val="none"/>
              </w:rPr>
            </w:pPr>
            <w:r>
              <w:rPr>
                <w:rFonts w:hint="eastAsia" w:ascii="宋体" w:hAnsi="宋体" w:eastAsia="宋体" w:cs="宋体"/>
                <w:b/>
                <w:bCs/>
                <w:sz w:val="21"/>
                <w:szCs w:val="21"/>
                <w:highlight w:val="none"/>
              </w:rPr>
              <w:t>（2）秩序主管，满足以下要求：</w:t>
            </w:r>
          </w:p>
          <w:p>
            <w:pPr>
              <w:pStyle w:val="91"/>
              <w:spacing w:before="2" w:line="410" w:lineRule="atLeast"/>
              <w:ind w:right="117"/>
              <w:jc w:val="left"/>
              <w:rPr>
                <w:rFonts w:hint="eastAsia" w:ascii="宋体" w:hAnsi="宋体" w:eastAsia="宋体" w:cs="宋体"/>
                <w:sz w:val="21"/>
                <w:szCs w:val="21"/>
                <w:highlight w:val="none"/>
              </w:rPr>
            </w:pPr>
            <w:r>
              <w:rPr>
                <w:rFonts w:hint="eastAsia" w:ascii="宋体" w:hAnsi="宋体" w:eastAsia="宋体" w:cs="宋体"/>
                <w:sz w:val="21"/>
                <w:szCs w:val="21"/>
                <w:highlight w:val="none"/>
              </w:rPr>
              <w:t>①具有</w:t>
            </w:r>
            <w:r>
              <w:rPr>
                <w:rFonts w:hint="eastAsia" w:ascii="宋体" w:hAnsi="宋体" w:eastAsia="宋体" w:cs="宋体"/>
                <w:sz w:val="21"/>
                <w:szCs w:val="21"/>
                <w:highlight w:val="none"/>
                <w:lang w:val="en-US" w:eastAsia="zh-CN"/>
              </w:rPr>
              <w:t>本科或本科以上学历</w:t>
            </w:r>
            <w:r>
              <w:rPr>
                <w:rFonts w:hint="eastAsia" w:ascii="宋体" w:hAnsi="宋体" w:eastAsia="宋体" w:cs="宋体"/>
                <w:sz w:val="21"/>
                <w:szCs w:val="21"/>
                <w:highlight w:val="none"/>
              </w:rPr>
              <w:t>，得</w:t>
            </w:r>
            <w:r>
              <w:rPr>
                <w:rFonts w:hint="eastAsia" w:ascii="宋体" w:hAnsi="宋体" w:eastAsia="宋体" w:cs="宋体"/>
                <w:sz w:val="21"/>
                <w:szCs w:val="21"/>
                <w:highlight w:val="none"/>
                <w:lang w:val="en-US" w:eastAsia="zh-CN"/>
              </w:rPr>
              <w:t>1</w:t>
            </w:r>
            <w:r>
              <w:rPr>
                <w:rFonts w:hint="eastAsia" w:ascii="宋体" w:hAnsi="宋体" w:eastAsia="宋体" w:cs="宋体"/>
                <w:sz w:val="21"/>
                <w:szCs w:val="21"/>
                <w:highlight w:val="none"/>
              </w:rPr>
              <w:t>分；</w:t>
            </w:r>
          </w:p>
          <w:p>
            <w:pPr>
              <w:pStyle w:val="91"/>
              <w:spacing w:before="2" w:line="410" w:lineRule="atLeast"/>
              <w:ind w:right="117"/>
              <w:jc w:val="left"/>
              <w:rPr>
                <w:rFonts w:hint="eastAsia" w:ascii="宋体" w:hAnsi="宋体" w:eastAsia="宋体" w:cs="宋体"/>
                <w:sz w:val="21"/>
                <w:szCs w:val="21"/>
                <w:highlight w:val="none"/>
              </w:rPr>
            </w:pPr>
            <w:r>
              <w:rPr>
                <w:rFonts w:hint="eastAsia" w:ascii="宋体" w:hAnsi="宋体" w:eastAsia="宋体" w:cs="宋体"/>
                <w:sz w:val="21"/>
                <w:szCs w:val="21"/>
                <w:highlight w:val="none"/>
              </w:rPr>
              <w:t>②具有</w:t>
            </w:r>
            <w:r>
              <w:rPr>
                <w:rFonts w:hint="eastAsia" w:ascii="宋体" w:hAnsi="宋体" w:eastAsia="宋体" w:cs="宋体"/>
                <w:sz w:val="21"/>
                <w:szCs w:val="21"/>
                <w:highlight w:val="none"/>
                <w:lang w:eastAsia="zh-CN"/>
              </w:rPr>
              <w:t>退伍</w:t>
            </w:r>
            <w:r>
              <w:rPr>
                <w:rFonts w:hint="eastAsia" w:ascii="宋体" w:hAnsi="宋体" w:eastAsia="宋体" w:cs="宋体"/>
                <w:sz w:val="21"/>
                <w:szCs w:val="21"/>
                <w:highlight w:val="none"/>
                <w:lang w:val="en-US" w:eastAsia="zh-CN"/>
              </w:rPr>
              <w:t>军人证及保安员证</w:t>
            </w:r>
            <w:r>
              <w:rPr>
                <w:rFonts w:hint="eastAsia" w:ascii="宋体" w:hAnsi="宋体" w:eastAsia="宋体" w:cs="宋体"/>
                <w:sz w:val="21"/>
                <w:szCs w:val="21"/>
                <w:highlight w:val="none"/>
              </w:rPr>
              <w:t>，得</w:t>
            </w:r>
            <w:r>
              <w:rPr>
                <w:rFonts w:hint="eastAsia" w:ascii="宋体" w:hAnsi="宋体" w:eastAsia="宋体" w:cs="宋体"/>
                <w:sz w:val="21"/>
                <w:szCs w:val="21"/>
                <w:highlight w:val="none"/>
                <w:lang w:val="en-US"/>
              </w:rPr>
              <w:t>2</w:t>
            </w:r>
            <w:r>
              <w:rPr>
                <w:rFonts w:hint="eastAsia" w:ascii="宋体" w:hAnsi="宋体" w:eastAsia="宋体" w:cs="宋体"/>
                <w:sz w:val="21"/>
                <w:szCs w:val="21"/>
                <w:highlight w:val="none"/>
              </w:rPr>
              <w:t>分；</w:t>
            </w:r>
          </w:p>
          <w:p>
            <w:pPr>
              <w:pStyle w:val="91"/>
              <w:spacing w:before="2" w:line="410" w:lineRule="atLeast"/>
              <w:ind w:right="117"/>
              <w:jc w:val="left"/>
              <w:rPr>
                <w:rFonts w:hint="eastAsia" w:ascii="宋体" w:hAnsi="宋体" w:eastAsia="宋体" w:cs="宋体"/>
                <w:sz w:val="21"/>
                <w:szCs w:val="21"/>
                <w:highlight w:val="none"/>
              </w:rPr>
            </w:pPr>
            <w:r>
              <w:rPr>
                <w:rFonts w:hint="eastAsia" w:ascii="宋体" w:hAnsi="宋体" w:eastAsia="宋体" w:cs="宋体"/>
                <w:sz w:val="21"/>
                <w:szCs w:val="21"/>
                <w:highlight w:val="none"/>
              </w:rPr>
              <w:t>③具有</w:t>
            </w:r>
            <w:r>
              <w:rPr>
                <w:rFonts w:hint="eastAsia" w:ascii="宋体" w:hAnsi="宋体" w:eastAsia="宋体" w:cs="宋体"/>
                <w:sz w:val="21"/>
                <w:szCs w:val="21"/>
                <w:highlight w:val="none"/>
                <w:lang w:val="en-US" w:eastAsia="zh-CN"/>
              </w:rPr>
              <w:t>三</w:t>
            </w:r>
            <w:r>
              <w:rPr>
                <w:rFonts w:hint="eastAsia" w:ascii="宋体" w:hAnsi="宋体" w:eastAsia="宋体" w:cs="宋体"/>
                <w:sz w:val="21"/>
                <w:szCs w:val="21"/>
                <w:highlight w:val="none"/>
              </w:rPr>
              <w:t>级及以上消防设施操作员证或建构筑物消防员证，得</w:t>
            </w:r>
            <w:r>
              <w:rPr>
                <w:rFonts w:hint="eastAsia" w:ascii="宋体" w:hAnsi="宋体" w:eastAsia="宋体" w:cs="宋体"/>
                <w:sz w:val="21"/>
                <w:szCs w:val="21"/>
                <w:highlight w:val="none"/>
                <w:lang w:val="en-US"/>
              </w:rPr>
              <w:t>2</w:t>
            </w:r>
            <w:r>
              <w:rPr>
                <w:rFonts w:hint="eastAsia" w:ascii="宋体" w:hAnsi="宋体" w:eastAsia="宋体" w:cs="宋体"/>
                <w:sz w:val="21"/>
                <w:szCs w:val="21"/>
                <w:highlight w:val="none"/>
              </w:rPr>
              <w:t>分；</w:t>
            </w:r>
          </w:p>
          <w:p>
            <w:pPr>
              <w:pStyle w:val="91"/>
              <w:spacing w:before="2" w:line="410" w:lineRule="atLeast"/>
              <w:ind w:right="117"/>
              <w:jc w:val="left"/>
              <w:rPr>
                <w:rFonts w:hint="eastAsia" w:ascii="宋体" w:hAnsi="宋体" w:eastAsia="宋体" w:cs="宋体"/>
                <w:b/>
                <w:bCs/>
                <w:sz w:val="21"/>
                <w:szCs w:val="21"/>
                <w:highlight w:val="none"/>
              </w:rPr>
            </w:pPr>
            <w:r>
              <w:rPr>
                <w:rFonts w:hint="eastAsia" w:ascii="宋体" w:hAnsi="宋体" w:eastAsia="宋体" w:cs="宋体"/>
                <w:b/>
                <w:bCs/>
                <w:sz w:val="21"/>
                <w:szCs w:val="21"/>
                <w:highlight w:val="none"/>
              </w:rPr>
              <w:t>（3）工程主管，满足以下要求：</w:t>
            </w:r>
          </w:p>
          <w:p>
            <w:pPr>
              <w:pStyle w:val="91"/>
              <w:spacing w:before="2" w:line="410" w:lineRule="atLeast"/>
              <w:ind w:right="117"/>
              <w:jc w:val="left"/>
              <w:rPr>
                <w:rFonts w:hint="eastAsia" w:ascii="宋体" w:hAnsi="宋体" w:eastAsia="宋体" w:cs="宋体"/>
                <w:sz w:val="21"/>
                <w:szCs w:val="21"/>
                <w:highlight w:val="none"/>
              </w:rPr>
            </w:pPr>
            <w:r>
              <w:rPr>
                <w:rFonts w:hint="eastAsia" w:ascii="宋体" w:hAnsi="宋体" w:eastAsia="宋体" w:cs="宋体"/>
                <w:sz w:val="21"/>
                <w:szCs w:val="21"/>
                <w:highlight w:val="none"/>
              </w:rPr>
              <w:t>①</w:t>
            </w:r>
            <w:r>
              <w:rPr>
                <w:rFonts w:hint="eastAsia" w:ascii="宋体" w:hAnsi="宋体" w:eastAsia="宋体" w:cs="宋体"/>
                <w:sz w:val="21"/>
                <w:szCs w:val="21"/>
                <w:highlight w:val="none"/>
                <w:lang w:val="en-US" w:eastAsia="zh-CN"/>
              </w:rPr>
              <w:t>具有</w:t>
            </w:r>
            <w:r>
              <w:rPr>
                <w:rFonts w:hint="eastAsia" w:ascii="宋体" w:hAnsi="宋体" w:eastAsia="宋体" w:cs="宋体"/>
                <w:sz w:val="21"/>
                <w:szCs w:val="21"/>
                <w:highlight w:val="none"/>
              </w:rPr>
              <w:t>大专</w:t>
            </w:r>
            <w:r>
              <w:rPr>
                <w:rFonts w:hint="eastAsia" w:ascii="宋体" w:hAnsi="宋体" w:eastAsia="宋体" w:cs="宋体"/>
                <w:sz w:val="21"/>
                <w:szCs w:val="21"/>
                <w:highlight w:val="none"/>
                <w:lang w:val="en-US" w:eastAsia="zh-CN"/>
              </w:rPr>
              <w:t>或大专以上</w:t>
            </w:r>
            <w:r>
              <w:rPr>
                <w:rFonts w:hint="eastAsia" w:ascii="宋体" w:hAnsi="宋体" w:eastAsia="宋体" w:cs="宋体"/>
                <w:sz w:val="21"/>
                <w:szCs w:val="21"/>
                <w:highlight w:val="none"/>
              </w:rPr>
              <w:t>以上学历</w:t>
            </w: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lang w:val="en-US" w:eastAsia="zh-CN"/>
              </w:rPr>
              <w:t>得1分</w:t>
            </w:r>
            <w:r>
              <w:rPr>
                <w:rFonts w:hint="eastAsia" w:ascii="宋体" w:hAnsi="宋体" w:eastAsia="宋体" w:cs="宋体"/>
                <w:sz w:val="21"/>
                <w:szCs w:val="21"/>
                <w:highlight w:val="none"/>
              </w:rPr>
              <w:t>；</w:t>
            </w:r>
          </w:p>
          <w:p>
            <w:pPr>
              <w:pStyle w:val="91"/>
              <w:spacing w:before="2" w:line="410" w:lineRule="atLeast"/>
              <w:ind w:right="117"/>
              <w:jc w:val="left"/>
              <w:rPr>
                <w:rFonts w:hint="eastAsia" w:ascii="宋体" w:hAnsi="宋体" w:eastAsia="宋体" w:cs="宋体"/>
                <w:sz w:val="21"/>
                <w:szCs w:val="21"/>
                <w:highlight w:val="none"/>
              </w:rPr>
            </w:pPr>
            <w:r>
              <w:rPr>
                <w:rFonts w:hint="eastAsia" w:ascii="宋体" w:hAnsi="宋体" w:eastAsia="宋体" w:cs="宋体"/>
                <w:sz w:val="21"/>
                <w:szCs w:val="21"/>
                <w:highlight w:val="none"/>
              </w:rPr>
              <w:t>②</w:t>
            </w:r>
            <w:r>
              <w:rPr>
                <w:rFonts w:hint="eastAsia" w:ascii="宋体" w:hAnsi="宋体" w:eastAsia="宋体" w:cs="宋体"/>
                <w:sz w:val="21"/>
                <w:szCs w:val="21"/>
                <w:highlight w:val="none"/>
                <w:lang w:val="en-US"/>
              </w:rPr>
              <w:t>具有特种设备安全和作业人员证(A类)，得</w:t>
            </w:r>
            <w:r>
              <w:rPr>
                <w:rFonts w:hint="eastAsia" w:ascii="宋体" w:hAnsi="宋体" w:eastAsia="宋体" w:cs="宋体"/>
                <w:sz w:val="21"/>
                <w:szCs w:val="21"/>
                <w:highlight w:val="none"/>
                <w:lang w:val="en-US" w:eastAsia="zh-CN"/>
              </w:rPr>
              <w:t>1</w:t>
            </w:r>
            <w:r>
              <w:rPr>
                <w:rFonts w:hint="eastAsia" w:ascii="宋体" w:hAnsi="宋体" w:eastAsia="宋体" w:cs="宋体"/>
                <w:sz w:val="21"/>
                <w:szCs w:val="21"/>
                <w:highlight w:val="none"/>
                <w:lang w:val="en-US"/>
              </w:rPr>
              <w:t>分；</w:t>
            </w:r>
          </w:p>
          <w:p>
            <w:pPr>
              <w:pStyle w:val="91"/>
              <w:spacing w:before="2" w:line="410" w:lineRule="atLeast"/>
              <w:ind w:right="117"/>
              <w:jc w:val="left"/>
              <w:rPr>
                <w:rFonts w:hint="eastAsia" w:ascii="宋体" w:hAnsi="宋体" w:eastAsia="宋体" w:cs="宋体"/>
                <w:sz w:val="21"/>
                <w:szCs w:val="21"/>
                <w:highlight w:val="none"/>
              </w:rPr>
            </w:pPr>
            <w:r>
              <w:rPr>
                <w:rFonts w:hint="eastAsia" w:ascii="宋体" w:hAnsi="宋体" w:eastAsia="宋体" w:cs="宋体"/>
                <w:sz w:val="21"/>
                <w:szCs w:val="21"/>
                <w:highlight w:val="none"/>
              </w:rPr>
              <w:t>③具有</w:t>
            </w:r>
            <w:r>
              <w:rPr>
                <w:rFonts w:hint="eastAsia" w:ascii="宋体" w:hAnsi="宋体" w:eastAsia="宋体" w:cs="宋体"/>
                <w:sz w:val="21"/>
                <w:szCs w:val="21"/>
                <w:highlight w:val="none"/>
                <w:lang w:val="en-US" w:eastAsia="zh-CN"/>
              </w:rPr>
              <w:t>高压及低压</w:t>
            </w:r>
            <w:r>
              <w:rPr>
                <w:rFonts w:hint="eastAsia" w:ascii="宋体" w:hAnsi="宋体" w:eastAsia="宋体" w:cs="宋体"/>
                <w:sz w:val="21"/>
                <w:szCs w:val="21"/>
                <w:highlight w:val="none"/>
              </w:rPr>
              <w:t>电工</w:t>
            </w:r>
            <w:r>
              <w:rPr>
                <w:rFonts w:hint="eastAsia" w:ascii="宋体" w:hAnsi="宋体" w:eastAsia="宋体" w:cs="宋体"/>
                <w:sz w:val="21"/>
                <w:szCs w:val="21"/>
                <w:highlight w:val="none"/>
                <w:lang w:val="en-US" w:eastAsia="zh-CN"/>
              </w:rPr>
              <w:t>操作证</w:t>
            </w:r>
            <w:r>
              <w:rPr>
                <w:rFonts w:hint="eastAsia" w:ascii="宋体" w:hAnsi="宋体" w:eastAsia="宋体" w:cs="宋体"/>
                <w:sz w:val="21"/>
                <w:szCs w:val="21"/>
                <w:highlight w:val="none"/>
              </w:rPr>
              <w:t>，得</w:t>
            </w:r>
            <w:r>
              <w:rPr>
                <w:rFonts w:hint="eastAsia" w:ascii="宋体" w:hAnsi="宋体" w:eastAsia="宋体" w:cs="宋体"/>
                <w:sz w:val="21"/>
                <w:szCs w:val="21"/>
                <w:highlight w:val="none"/>
                <w:lang w:val="en-US" w:eastAsia="zh-CN"/>
              </w:rPr>
              <w:t>1</w:t>
            </w:r>
            <w:r>
              <w:rPr>
                <w:rFonts w:hint="eastAsia" w:ascii="宋体" w:hAnsi="宋体" w:eastAsia="宋体" w:cs="宋体"/>
                <w:sz w:val="21"/>
                <w:szCs w:val="21"/>
                <w:highlight w:val="none"/>
              </w:rPr>
              <w:t>分；</w:t>
            </w:r>
          </w:p>
          <w:p>
            <w:pPr>
              <w:pStyle w:val="91"/>
              <w:spacing w:before="2" w:line="410" w:lineRule="atLeast"/>
              <w:ind w:right="117"/>
              <w:jc w:val="left"/>
              <w:rPr>
                <w:rFonts w:hint="eastAsia" w:ascii="宋体" w:hAnsi="宋体" w:eastAsia="宋体" w:cs="宋体"/>
                <w:sz w:val="21"/>
                <w:szCs w:val="21"/>
                <w:highlight w:val="none"/>
              </w:rPr>
            </w:pPr>
            <w:r>
              <w:rPr>
                <w:rFonts w:hint="eastAsia" w:ascii="宋体" w:hAnsi="宋体" w:eastAsia="宋体" w:cs="宋体"/>
                <w:sz w:val="21"/>
                <w:szCs w:val="21"/>
                <w:highlight w:val="none"/>
              </w:rPr>
              <w:t>④</w:t>
            </w:r>
            <w:r>
              <w:rPr>
                <w:rFonts w:hint="eastAsia" w:ascii="宋体" w:hAnsi="宋体" w:eastAsia="宋体" w:cs="宋体"/>
                <w:sz w:val="21"/>
                <w:szCs w:val="21"/>
                <w:highlight w:val="none"/>
                <w:lang w:val="en-US"/>
              </w:rPr>
              <w:t>具有</w:t>
            </w:r>
            <w:r>
              <w:rPr>
                <w:rFonts w:hint="eastAsia" w:ascii="宋体" w:hAnsi="宋体" w:eastAsia="宋体" w:cs="宋体"/>
                <w:sz w:val="21"/>
                <w:szCs w:val="21"/>
                <w:highlight w:val="none"/>
                <w:lang w:val="en-US" w:eastAsia="zh-CN"/>
              </w:rPr>
              <w:t>高级消防工程师证</w:t>
            </w:r>
            <w:r>
              <w:rPr>
                <w:rFonts w:hint="eastAsia" w:ascii="宋体" w:hAnsi="宋体" w:eastAsia="宋体" w:cs="宋体"/>
                <w:sz w:val="21"/>
                <w:szCs w:val="21"/>
                <w:highlight w:val="none"/>
              </w:rPr>
              <w:t>，得</w:t>
            </w:r>
            <w:r>
              <w:rPr>
                <w:rFonts w:hint="eastAsia" w:ascii="宋体" w:hAnsi="宋体" w:eastAsia="宋体" w:cs="宋体"/>
                <w:sz w:val="21"/>
                <w:szCs w:val="21"/>
                <w:highlight w:val="none"/>
                <w:lang w:val="en-US"/>
              </w:rPr>
              <w:t>2</w:t>
            </w:r>
            <w:r>
              <w:rPr>
                <w:rFonts w:hint="eastAsia" w:ascii="宋体" w:hAnsi="宋体" w:eastAsia="宋体" w:cs="宋体"/>
                <w:sz w:val="21"/>
                <w:szCs w:val="21"/>
                <w:highlight w:val="none"/>
              </w:rPr>
              <w:t>分。</w:t>
            </w:r>
          </w:p>
          <w:p>
            <w:pPr>
              <w:pStyle w:val="91"/>
              <w:spacing w:before="2" w:line="410" w:lineRule="atLeast"/>
              <w:ind w:right="117"/>
              <w:jc w:val="left"/>
              <w:rPr>
                <w:rFonts w:hint="eastAsia" w:ascii="宋体" w:hAnsi="宋体" w:eastAsia="宋体" w:cs="宋体"/>
                <w:sz w:val="21"/>
                <w:szCs w:val="21"/>
                <w:highlight w:val="none"/>
                <w:lang w:val="en-US"/>
              </w:rPr>
            </w:pPr>
            <w:r>
              <w:rPr>
                <w:rFonts w:hint="eastAsia" w:ascii="宋体" w:hAnsi="宋体" w:eastAsia="宋体" w:cs="宋体"/>
                <w:sz w:val="21"/>
                <w:szCs w:val="21"/>
                <w:highlight w:val="none"/>
              </w:rPr>
              <w:t>注：附上述人员证书复印件或影印件同时提供投标人自202</w:t>
            </w:r>
            <w:r>
              <w:rPr>
                <w:rFonts w:hint="eastAsia" w:ascii="宋体" w:hAnsi="宋体" w:eastAsia="宋体" w:cs="宋体"/>
                <w:sz w:val="21"/>
                <w:szCs w:val="21"/>
                <w:highlight w:val="none"/>
                <w:lang w:val="en-US"/>
              </w:rPr>
              <w:t>1</w:t>
            </w:r>
            <w:r>
              <w:rPr>
                <w:rFonts w:hint="eastAsia" w:ascii="宋体" w:hAnsi="宋体" w:eastAsia="宋体" w:cs="宋体"/>
                <w:sz w:val="21"/>
                <w:szCs w:val="21"/>
                <w:highlight w:val="none"/>
              </w:rPr>
              <w:t>年</w:t>
            </w:r>
            <w:r>
              <w:rPr>
                <w:rFonts w:hint="eastAsia" w:ascii="宋体" w:hAnsi="宋体" w:eastAsia="宋体" w:cs="宋体"/>
                <w:sz w:val="21"/>
                <w:szCs w:val="21"/>
                <w:highlight w:val="none"/>
                <w:lang w:val="en-US"/>
              </w:rPr>
              <w:t>6</w:t>
            </w:r>
            <w:r>
              <w:rPr>
                <w:rFonts w:hint="eastAsia" w:ascii="宋体" w:hAnsi="宋体" w:eastAsia="宋体" w:cs="宋体"/>
                <w:sz w:val="21"/>
                <w:szCs w:val="21"/>
                <w:highlight w:val="none"/>
              </w:rPr>
              <w:t>月以来为其缴纳的任意连续</w:t>
            </w:r>
            <w:r>
              <w:rPr>
                <w:rFonts w:hint="eastAsia" w:ascii="宋体" w:hAnsi="宋体" w:eastAsia="宋体" w:cs="宋体"/>
                <w:sz w:val="21"/>
                <w:szCs w:val="21"/>
                <w:highlight w:val="none"/>
                <w:lang w:val="en-US"/>
              </w:rPr>
              <w:t>6</w:t>
            </w:r>
            <w:r>
              <w:rPr>
                <w:rFonts w:hint="eastAsia" w:ascii="宋体" w:hAnsi="宋体" w:eastAsia="宋体" w:cs="宋体"/>
                <w:sz w:val="21"/>
                <w:szCs w:val="21"/>
                <w:highlight w:val="none"/>
              </w:rPr>
              <w:t>个月社保证明材料。</w:t>
            </w:r>
          </w:p>
        </w:tc>
        <w:tc>
          <w:tcPr>
            <w:tcW w:w="765" w:type="dxa"/>
            <w:noWrap w:val="0"/>
            <w:vAlign w:val="center"/>
          </w:tcPr>
          <w:p>
            <w:pPr>
              <w:pStyle w:val="20"/>
              <w:spacing w:line="360" w:lineRule="auto"/>
              <w:ind w:left="0" w:leftChars="0" w:right="0" w:rightChars="0" w:firstLine="0" w:firstLineChars="0"/>
              <w:jc w:val="center"/>
              <w:outlineLvl w:val="1"/>
              <w:rPr>
                <w:rFonts w:hint="eastAsia" w:ascii="宋体" w:hAnsi="宋体" w:eastAsia="宋体" w:cs="宋体"/>
                <w:bCs/>
                <w:sz w:val="21"/>
                <w:szCs w:val="21"/>
                <w:highlight w:val="none"/>
              </w:rPr>
            </w:pPr>
            <w:r>
              <w:rPr>
                <w:rFonts w:hint="eastAsia" w:ascii="宋体" w:hAnsi="宋体" w:eastAsia="宋体" w:cs="宋体"/>
                <w:bCs/>
                <w:sz w:val="21"/>
                <w:szCs w:val="21"/>
                <w:highlight w:val="none"/>
              </w:rPr>
              <w:t>0-</w:t>
            </w:r>
            <w:r>
              <w:rPr>
                <w:rFonts w:hint="eastAsia" w:ascii="宋体" w:hAnsi="宋体" w:eastAsia="宋体" w:cs="宋体"/>
                <w:bCs/>
                <w:sz w:val="21"/>
                <w:szCs w:val="21"/>
                <w:highlight w:val="none"/>
                <w:lang w:val="en-US" w:eastAsia="zh-CN"/>
              </w:rPr>
              <w:t>15</w:t>
            </w:r>
            <w:r>
              <w:rPr>
                <w:rFonts w:hint="eastAsia" w:ascii="宋体" w:hAnsi="宋体" w:eastAsia="宋体" w:cs="宋体"/>
                <w:bCs/>
                <w:sz w:val="21"/>
                <w:szCs w:val="21"/>
                <w:highlight w:val="none"/>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3" w:hRule="atLeast"/>
          <w:jc w:val="center"/>
        </w:trPr>
        <w:tc>
          <w:tcPr>
            <w:tcW w:w="732" w:type="dxa"/>
            <w:vMerge w:val="restart"/>
            <w:noWrap w:val="0"/>
            <w:vAlign w:val="center"/>
          </w:tcPr>
          <w:p>
            <w:pPr>
              <w:pStyle w:val="20"/>
              <w:spacing w:line="360" w:lineRule="auto"/>
              <w:ind w:left="0" w:leftChars="0" w:right="0" w:rightChars="0" w:firstLine="0" w:firstLineChars="0"/>
              <w:jc w:val="center"/>
              <w:outlineLvl w:val="1"/>
              <w:rPr>
                <w:rFonts w:hint="eastAsia" w:ascii="宋体" w:hAnsi="宋体" w:eastAsia="宋体" w:cs="宋体"/>
                <w:bCs/>
                <w:sz w:val="21"/>
                <w:szCs w:val="21"/>
                <w:highlight w:val="none"/>
              </w:rPr>
            </w:pPr>
            <w:r>
              <w:rPr>
                <w:rFonts w:hint="eastAsia" w:ascii="宋体" w:hAnsi="宋体" w:eastAsia="宋体" w:cs="宋体"/>
                <w:bCs/>
                <w:sz w:val="21"/>
                <w:szCs w:val="21"/>
                <w:highlight w:val="none"/>
              </w:rPr>
              <w:t>二</w:t>
            </w:r>
          </w:p>
        </w:tc>
        <w:tc>
          <w:tcPr>
            <w:tcW w:w="1275" w:type="dxa"/>
            <w:vMerge w:val="restart"/>
            <w:noWrap w:val="0"/>
            <w:vAlign w:val="center"/>
          </w:tcPr>
          <w:p>
            <w:pPr>
              <w:pStyle w:val="20"/>
              <w:spacing w:line="360" w:lineRule="auto"/>
              <w:ind w:left="0" w:leftChars="0" w:right="0" w:rightChars="0" w:firstLine="0" w:firstLineChars="0"/>
              <w:jc w:val="center"/>
              <w:outlineLvl w:val="1"/>
              <w:rPr>
                <w:rFonts w:hint="eastAsia" w:ascii="宋体" w:hAnsi="宋体" w:eastAsia="宋体" w:cs="宋体"/>
                <w:bCs/>
                <w:sz w:val="21"/>
                <w:szCs w:val="21"/>
                <w:highlight w:val="none"/>
              </w:rPr>
            </w:pPr>
            <w:r>
              <w:rPr>
                <w:rFonts w:hint="eastAsia" w:ascii="宋体" w:hAnsi="宋体" w:eastAsia="宋体" w:cs="宋体"/>
                <w:bCs/>
                <w:sz w:val="21"/>
                <w:szCs w:val="21"/>
                <w:highlight w:val="none"/>
              </w:rPr>
              <w:t>资信部分（</w:t>
            </w:r>
            <w:r>
              <w:rPr>
                <w:rFonts w:hint="eastAsia" w:ascii="宋体" w:hAnsi="宋体" w:eastAsia="宋体" w:cs="宋体"/>
                <w:bCs/>
                <w:sz w:val="21"/>
                <w:szCs w:val="21"/>
                <w:highlight w:val="none"/>
                <w:lang w:val="en-US" w:eastAsia="zh-CN"/>
              </w:rPr>
              <w:t>25</w:t>
            </w:r>
            <w:r>
              <w:rPr>
                <w:rFonts w:hint="eastAsia" w:ascii="宋体" w:hAnsi="宋体" w:eastAsia="宋体" w:cs="宋体"/>
                <w:bCs/>
                <w:sz w:val="21"/>
                <w:szCs w:val="21"/>
                <w:highlight w:val="none"/>
              </w:rPr>
              <w:t>分）</w:t>
            </w:r>
          </w:p>
        </w:tc>
        <w:tc>
          <w:tcPr>
            <w:tcW w:w="6568" w:type="dxa"/>
            <w:noWrap w:val="0"/>
            <w:vAlign w:val="center"/>
          </w:tcPr>
          <w:p>
            <w:pPr>
              <w:pStyle w:val="91"/>
              <w:spacing w:before="2" w:line="410" w:lineRule="atLeast"/>
              <w:ind w:right="117"/>
              <w:jc w:val="left"/>
              <w:rPr>
                <w:rFonts w:hint="eastAsia" w:ascii="宋体" w:hAnsi="宋体" w:eastAsia="宋体" w:cs="宋体"/>
                <w:b/>
                <w:bCs/>
                <w:sz w:val="21"/>
                <w:szCs w:val="21"/>
                <w:highlight w:val="none"/>
                <w:lang w:val="en-US"/>
              </w:rPr>
            </w:pPr>
            <w:r>
              <w:rPr>
                <w:rFonts w:hint="eastAsia" w:ascii="宋体" w:hAnsi="宋体" w:eastAsia="宋体" w:cs="宋体"/>
                <w:b/>
                <w:bCs/>
                <w:sz w:val="21"/>
                <w:szCs w:val="21"/>
                <w:highlight w:val="none"/>
                <w:lang w:val="en-US"/>
              </w:rPr>
              <w:t>11、投标供应商物业管理业绩要求：（除资格业绩外）</w:t>
            </w:r>
          </w:p>
          <w:p>
            <w:pPr>
              <w:pStyle w:val="91"/>
              <w:spacing w:before="2" w:line="410" w:lineRule="atLeast"/>
              <w:ind w:right="117"/>
              <w:jc w:val="left"/>
              <w:rPr>
                <w:rFonts w:hint="eastAsia" w:ascii="宋体" w:hAnsi="宋体" w:eastAsia="宋体" w:cs="宋体"/>
                <w:sz w:val="21"/>
                <w:szCs w:val="21"/>
                <w:highlight w:val="none"/>
                <w:lang w:val="en-US"/>
              </w:rPr>
            </w:pPr>
            <w:r>
              <w:rPr>
                <w:rFonts w:hint="eastAsia" w:ascii="宋体" w:hAnsi="宋体" w:eastAsia="宋体" w:cs="宋体"/>
                <w:sz w:val="21"/>
                <w:szCs w:val="21"/>
                <w:highlight w:val="none"/>
                <w:lang w:val="en-US"/>
              </w:rPr>
              <w:t>201</w:t>
            </w:r>
            <w:r>
              <w:rPr>
                <w:rFonts w:hint="eastAsia" w:ascii="宋体" w:hAnsi="宋体" w:eastAsia="宋体" w:cs="宋体"/>
                <w:sz w:val="21"/>
                <w:szCs w:val="21"/>
                <w:highlight w:val="none"/>
                <w:lang w:val="en-US" w:eastAsia="zh-CN"/>
              </w:rPr>
              <w:t>9</w:t>
            </w:r>
            <w:r>
              <w:rPr>
                <w:rFonts w:hint="eastAsia" w:ascii="宋体" w:hAnsi="宋体" w:eastAsia="宋体" w:cs="宋体"/>
                <w:sz w:val="21"/>
                <w:szCs w:val="21"/>
                <w:highlight w:val="none"/>
                <w:lang w:val="en-US"/>
              </w:rPr>
              <w:t>年1月1日以来（以合同签订时间为准）。投标供应商具有物业管理服务业绩（含正在履约）：</w:t>
            </w:r>
          </w:p>
          <w:p>
            <w:pPr>
              <w:pStyle w:val="91"/>
              <w:spacing w:before="2" w:line="410" w:lineRule="atLeast"/>
              <w:ind w:right="117"/>
              <w:jc w:val="left"/>
              <w:rPr>
                <w:rFonts w:hint="eastAsia" w:ascii="宋体" w:hAnsi="宋体" w:eastAsia="宋体" w:cs="宋体"/>
                <w:sz w:val="21"/>
                <w:szCs w:val="21"/>
                <w:highlight w:val="none"/>
                <w:lang w:val="en-US"/>
              </w:rPr>
            </w:pPr>
            <w:r>
              <w:rPr>
                <w:rFonts w:hint="eastAsia" w:ascii="宋体" w:hAnsi="宋体" w:eastAsia="宋体" w:cs="宋体"/>
                <w:sz w:val="21"/>
                <w:szCs w:val="21"/>
                <w:highlight w:val="none"/>
                <w:lang w:val="en-US"/>
              </w:rPr>
              <w:t>①单项合同总建筑面积</w:t>
            </w:r>
            <w:r>
              <w:rPr>
                <w:rFonts w:hint="eastAsia" w:ascii="宋体" w:hAnsi="宋体" w:eastAsia="宋体" w:cs="宋体"/>
                <w:sz w:val="21"/>
                <w:szCs w:val="21"/>
                <w:highlight w:val="none"/>
                <w:lang w:val="en-US" w:eastAsia="zh-CN"/>
              </w:rPr>
              <w:t>10</w:t>
            </w:r>
            <w:r>
              <w:rPr>
                <w:rFonts w:hint="eastAsia" w:ascii="宋体" w:hAnsi="宋体" w:eastAsia="宋体" w:cs="宋体"/>
                <w:sz w:val="21"/>
                <w:szCs w:val="21"/>
                <w:highlight w:val="none"/>
                <w:lang w:val="en-US"/>
              </w:rPr>
              <w:t>万平方米及以上住宅小区物业管理项目业绩得</w:t>
            </w:r>
            <w:r>
              <w:rPr>
                <w:rFonts w:hint="eastAsia" w:ascii="宋体" w:hAnsi="宋体" w:eastAsia="宋体" w:cs="宋体"/>
                <w:sz w:val="21"/>
                <w:szCs w:val="21"/>
                <w:highlight w:val="none"/>
                <w:lang w:val="en-US" w:eastAsia="zh-CN"/>
              </w:rPr>
              <w:t>1</w:t>
            </w:r>
            <w:r>
              <w:rPr>
                <w:rFonts w:hint="eastAsia" w:ascii="宋体" w:hAnsi="宋体" w:eastAsia="宋体" w:cs="宋体"/>
                <w:sz w:val="21"/>
                <w:szCs w:val="21"/>
                <w:highlight w:val="none"/>
                <w:lang w:val="en-US"/>
              </w:rPr>
              <w:t>分，满分</w:t>
            </w:r>
            <w:r>
              <w:rPr>
                <w:rFonts w:hint="eastAsia" w:ascii="宋体" w:hAnsi="宋体" w:eastAsia="宋体" w:cs="宋体"/>
                <w:sz w:val="21"/>
                <w:szCs w:val="21"/>
                <w:highlight w:val="none"/>
                <w:lang w:val="en-US" w:eastAsia="zh-CN"/>
              </w:rPr>
              <w:t>4</w:t>
            </w:r>
            <w:r>
              <w:rPr>
                <w:rFonts w:hint="eastAsia" w:ascii="宋体" w:hAnsi="宋体" w:eastAsia="宋体" w:cs="宋体"/>
                <w:sz w:val="21"/>
                <w:szCs w:val="21"/>
                <w:highlight w:val="none"/>
                <w:lang w:val="en-US"/>
              </w:rPr>
              <w:t>分。</w:t>
            </w:r>
          </w:p>
          <w:p>
            <w:pPr>
              <w:pStyle w:val="91"/>
              <w:spacing w:before="2" w:line="410" w:lineRule="atLeast"/>
              <w:ind w:right="117"/>
              <w:jc w:val="left"/>
              <w:rPr>
                <w:rFonts w:hint="eastAsia" w:ascii="宋体" w:hAnsi="宋体" w:eastAsia="宋体" w:cs="宋体"/>
                <w:sz w:val="21"/>
                <w:szCs w:val="21"/>
                <w:highlight w:val="none"/>
                <w:lang w:val="en-US"/>
              </w:rPr>
            </w:pPr>
            <w:r>
              <w:rPr>
                <w:rFonts w:hint="eastAsia" w:ascii="宋体" w:hAnsi="宋体" w:eastAsia="宋体" w:cs="宋体"/>
                <w:sz w:val="21"/>
                <w:szCs w:val="21"/>
                <w:highlight w:val="none"/>
                <w:lang w:val="en-US"/>
              </w:rPr>
              <w:t>②单项合同总建筑面积</w:t>
            </w:r>
            <w:r>
              <w:rPr>
                <w:rFonts w:hint="eastAsia" w:ascii="宋体" w:hAnsi="宋体" w:eastAsia="宋体" w:cs="宋体"/>
                <w:sz w:val="21"/>
                <w:szCs w:val="21"/>
                <w:highlight w:val="none"/>
                <w:lang w:val="en-US" w:eastAsia="zh-CN"/>
              </w:rPr>
              <w:t>20</w:t>
            </w:r>
            <w:r>
              <w:rPr>
                <w:rFonts w:hint="eastAsia" w:ascii="宋体" w:hAnsi="宋体" w:eastAsia="宋体" w:cs="宋体"/>
                <w:sz w:val="21"/>
                <w:szCs w:val="21"/>
                <w:highlight w:val="none"/>
                <w:lang w:val="en-US"/>
              </w:rPr>
              <w:t>万平方米及以上住宅小区物业管理项目业绩得2分，满分</w:t>
            </w:r>
            <w:r>
              <w:rPr>
                <w:rFonts w:hint="eastAsia" w:ascii="宋体" w:hAnsi="宋体" w:eastAsia="宋体" w:cs="宋体"/>
                <w:sz w:val="21"/>
                <w:szCs w:val="21"/>
                <w:highlight w:val="none"/>
                <w:lang w:val="en-US" w:eastAsia="zh-CN"/>
              </w:rPr>
              <w:t>6</w:t>
            </w:r>
            <w:r>
              <w:rPr>
                <w:rFonts w:hint="eastAsia" w:ascii="宋体" w:hAnsi="宋体" w:eastAsia="宋体" w:cs="宋体"/>
                <w:sz w:val="21"/>
                <w:szCs w:val="21"/>
                <w:highlight w:val="none"/>
                <w:lang w:val="en-US"/>
              </w:rPr>
              <w:t>分。</w:t>
            </w:r>
          </w:p>
          <w:p>
            <w:pPr>
              <w:pStyle w:val="91"/>
              <w:spacing w:before="2" w:line="410" w:lineRule="atLeast"/>
              <w:ind w:right="117"/>
              <w:jc w:val="left"/>
              <w:rPr>
                <w:rFonts w:hint="eastAsia" w:ascii="宋体" w:hAnsi="宋体" w:eastAsia="宋体" w:cs="宋体"/>
                <w:sz w:val="21"/>
                <w:szCs w:val="21"/>
                <w:highlight w:val="none"/>
                <w:lang w:val="en-US"/>
              </w:rPr>
            </w:pPr>
            <w:r>
              <w:rPr>
                <w:rFonts w:hint="eastAsia" w:ascii="宋体" w:hAnsi="宋体" w:eastAsia="宋体" w:cs="宋体"/>
                <w:sz w:val="21"/>
                <w:szCs w:val="21"/>
                <w:highlight w:val="none"/>
                <w:lang w:val="en-US"/>
              </w:rPr>
              <w:t>注：（1）满分10分，同一业绩合同中若同时满足上述多项内容的，仅以最高分计分一次;</w:t>
            </w:r>
          </w:p>
          <w:p>
            <w:pPr>
              <w:pStyle w:val="91"/>
              <w:spacing w:before="2" w:line="410" w:lineRule="atLeast"/>
              <w:ind w:right="117"/>
              <w:jc w:val="left"/>
              <w:rPr>
                <w:rFonts w:hint="eastAsia" w:ascii="宋体" w:hAnsi="宋体" w:eastAsia="宋体" w:cs="宋体"/>
                <w:sz w:val="21"/>
                <w:szCs w:val="21"/>
                <w:highlight w:val="none"/>
                <w:lang w:val="en-US"/>
              </w:rPr>
            </w:pPr>
            <w:r>
              <w:rPr>
                <w:rFonts w:hint="eastAsia" w:ascii="宋体" w:hAnsi="宋体" w:eastAsia="宋体" w:cs="宋体"/>
                <w:sz w:val="21"/>
                <w:szCs w:val="21"/>
                <w:highlight w:val="none"/>
                <w:lang w:val="en-US"/>
              </w:rPr>
              <w:t>投标文件中须提供业绩合同扫描件或影印件。若合同中未能体现签订时间、面积、项目内容等内容的，须同时提供业主单位（或合同甲方）出具的相关证明材料加以明确说明。</w:t>
            </w:r>
          </w:p>
        </w:tc>
        <w:tc>
          <w:tcPr>
            <w:tcW w:w="765" w:type="dxa"/>
            <w:noWrap w:val="0"/>
            <w:vAlign w:val="center"/>
          </w:tcPr>
          <w:p>
            <w:pPr>
              <w:pStyle w:val="20"/>
              <w:spacing w:line="360" w:lineRule="auto"/>
              <w:ind w:left="0" w:leftChars="0" w:right="0" w:rightChars="0" w:firstLine="0" w:firstLineChars="0"/>
              <w:jc w:val="center"/>
              <w:outlineLvl w:val="1"/>
              <w:rPr>
                <w:rFonts w:hint="eastAsia" w:ascii="宋体" w:hAnsi="宋体" w:eastAsia="宋体" w:cs="宋体"/>
                <w:bCs/>
                <w:sz w:val="21"/>
                <w:szCs w:val="21"/>
                <w:highlight w:val="none"/>
              </w:rPr>
            </w:pPr>
            <w:r>
              <w:rPr>
                <w:rFonts w:hint="eastAsia" w:ascii="宋体" w:hAnsi="宋体" w:eastAsia="宋体" w:cs="宋体"/>
                <w:bCs/>
                <w:sz w:val="21"/>
                <w:szCs w:val="21"/>
                <w:highlight w:val="none"/>
              </w:rPr>
              <w:t>0-10分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9" w:hRule="atLeast"/>
          <w:jc w:val="center"/>
        </w:trPr>
        <w:tc>
          <w:tcPr>
            <w:tcW w:w="732" w:type="dxa"/>
            <w:vMerge w:val="continue"/>
            <w:noWrap w:val="0"/>
            <w:vAlign w:val="center"/>
          </w:tcPr>
          <w:p>
            <w:pPr>
              <w:pStyle w:val="20"/>
              <w:spacing w:line="360" w:lineRule="auto"/>
              <w:ind w:left="0" w:leftChars="0" w:right="0" w:rightChars="0" w:firstLine="0" w:firstLineChars="0"/>
              <w:jc w:val="center"/>
              <w:outlineLvl w:val="1"/>
              <w:rPr>
                <w:rFonts w:hint="eastAsia" w:ascii="宋体" w:hAnsi="宋体" w:eastAsia="宋体" w:cs="宋体"/>
                <w:bCs/>
                <w:sz w:val="21"/>
                <w:szCs w:val="21"/>
                <w:highlight w:val="none"/>
              </w:rPr>
            </w:pPr>
          </w:p>
        </w:tc>
        <w:tc>
          <w:tcPr>
            <w:tcW w:w="1275" w:type="dxa"/>
            <w:vMerge w:val="continue"/>
            <w:noWrap w:val="0"/>
            <w:vAlign w:val="center"/>
          </w:tcPr>
          <w:p>
            <w:pPr>
              <w:pStyle w:val="20"/>
              <w:spacing w:line="360" w:lineRule="auto"/>
              <w:ind w:left="0" w:leftChars="0" w:right="0" w:rightChars="0" w:firstLine="0" w:firstLineChars="0"/>
              <w:jc w:val="center"/>
              <w:outlineLvl w:val="1"/>
              <w:rPr>
                <w:rFonts w:hint="eastAsia" w:ascii="宋体" w:hAnsi="宋体" w:eastAsia="宋体" w:cs="宋体"/>
                <w:bCs/>
                <w:sz w:val="21"/>
                <w:szCs w:val="21"/>
                <w:highlight w:val="none"/>
              </w:rPr>
            </w:pPr>
          </w:p>
        </w:tc>
        <w:tc>
          <w:tcPr>
            <w:tcW w:w="6568" w:type="dxa"/>
            <w:noWrap w:val="0"/>
            <w:vAlign w:val="center"/>
          </w:tcPr>
          <w:p>
            <w:pPr>
              <w:pStyle w:val="91"/>
              <w:spacing w:before="2" w:line="410" w:lineRule="atLeast"/>
              <w:ind w:right="117"/>
              <w:jc w:val="left"/>
              <w:rPr>
                <w:rFonts w:hint="eastAsia" w:ascii="宋体" w:hAnsi="宋体" w:eastAsia="宋体" w:cs="宋体"/>
                <w:b/>
                <w:bCs/>
                <w:sz w:val="21"/>
                <w:szCs w:val="21"/>
                <w:highlight w:val="none"/>
                <w:lang w:val="en-US"/>
              </w:rPr>
            </w:pPr>
            <w:r>
              <w:rPr>
                <w:rFonts w:hint="eastAsia" w:ascii="宋体" w:hAnsi="宋体" w:eastAsia="宋体" w:cs="宋体"/>
                <w:b/>
                <w:bCs/>
                <w:sz w:val="21"/>
                <w:szCs w:val="21"/>
                <w:highlight w:val="none"/>
                <w:lang w:val="en-US"/>
              </w:rPr>
              <w:t>1、企业实力</w:t>
            </w:r>
          </w:p>
          <w:p>
            <w:pPr>
              <w:pStyle w:val="91"/>
              <w:spacing w:before="2" w:line="410" w:lineRule="atLeast"/>
              <w:ind w:right="117"/>
              <w:jc w:val="left"/>
              <w:rPr>
                <w:rFonts w:hint="eastAsia" w:ascii="宋体" w:hAnsi="宋体" w:eastAsia="宋体" w:cs="宋体"/>
                <w:sz w:val="21"/>
                <w:szCs w:val="21"/>
                <w:highlight w:val="none"/>
                <w:lang w:val="en-US"/>
              </w:rPr>
            </w:pPr>
            <w:r>
              <w:rPr>
                <w:rFonts w:hint="eastAsia" w:cs="宋体"/>
                <w:sz w:val="21"/>
                <w:szCs w:val="21"/>
                <w:highlight w:val="none"/>
                <w:lang w:val="en-US" w:eastAsia="zh-CN"/>
              </w:rPr>
              <w:t>在桐城市注册的企业</w:t>
            </w:r>
            <w:r>
              <w:rPr>
                <w:rFonts w:hint="eastAsia" w:ascii="宋体" w:hAnsi="宋体" w:eastAsia="宋体" w:cs="宋体"/>
                <w:sz w:val="21"/>
                <w:szCs w:val="21"/>
                <w:highlight w:val="none"/>
                <w:lang w:val="en-US"/>
              </w:rPr>
              <w:t>，得</w:t>
            </w:r>
            <w:r>
              <w:rPr>
                <w:rFonts w:hint="eastAsia" w:ascii="宋体" w:hAnsi="宋体" w:eastAsia="宋体" w:cs="宋体"/>
                <w:sz w:val="21"/>
                <w:szCs w:val="21"/>
                <w:highlight w:val="none"/>
                <w:lang w:val="en-US" w:eastAsia="zh-CN"/>
              </w:rPr>
              <w:t>5</w:t>
            </w:r>
            <w:r>
              <w:rPr>
                <w:rFonts w:hint="eastAsia" w:ascii="宋体" w:hAnsi="宋体" w:eastAsia="宋体" w:cs="宋体"/>
                <w:sz w:val="21"/>
                <w:szCs w:val="21"/>
                <w:highlight w:val="none"/>
                <w:lang w:val="en-US"/>
              </w:rPr>
              <w:t>分。</w:t>
            </w:r>
          </w:p>
          <w:p>
            <w:pPr>
              <w:pStyle w:val="91"/>
              <w:spacing w:before="2" w:line="410" w:lineRule="atLeast"/>
              <w:ind w:right="117"/>
              <w:jc w:val="left"/>
              <w:rPr>
                <w:rFonts w:hint="eastAsia" w:ascii="宋体" w:hAnsi="宋体" w:eastAsia="宋体" w:cs="宋体"/>
                <w:b/>
                <w:bCs/>
                <w:sz w:val="21"/>
                <w:szCs w:val="21"/>
                <w:highlight w:val="none"/>
                <w:lang w:val="en-US"/>
              </w:rPr>
            </w:pPr>
            <w:r>
              <w:rPr>
                <w:rFonts w:hint="eastAsia" w:ascii="宋体" w:hAnsi="宋体" w:eastAsia="宋体" w:cs="宋体"/>
                <w:b/>
                <w:bCs/>
                <w:sz w:val="21"/>
                <w:szCs w:val="21"/>
                <w:highlight w:val="none"/>
                <w:lang w:val="en-US"/>
              </w:rPr>
              <w:t>2、获得荣誉</w:t>
            </w:r>
          </w:p>
          <w:p>
            <w:pPr>
              <w:pStyle w:val="91"/>
              <w:spacing w:before="2" w:line="410" w:lineRule="atLeast"/>
              <w:ind w:right="117"/>
              <w:jc w:val="left"/>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rPr>
              <w:t>自201</w:t>
            </w:r>
            <w:r>
              <w:rPr>
                <w:rFonts w:hint="eastAsia" w:ascii="宋体" w:hAnsi="宋体" w:eastAsia="宋体" w:cs="宋体"/>
                <w:sz w:val="21"/>
                <w:szCs w:val="21"/>
                <w:highlight w:val="none"/>
                <w:lang w:val="en-US" w:eastAsia="zh-CN"/>
              </w:rPr>
              <w:t>9</w:t>
            </w:r>
            <w:r>
              <w:rPr>
                <w:rFonts w:hint="eastAsia" w:ascii="宋体" w:hAnsi="宋体" w:eastAsia="宋体" w:cs="宋体"/>
                <w:sz w:val="21"/>
                <w:szCs w:val="21"/>
                <w:highlight w:val="none"/>
                <w:lang w:val="en-US"/>
              </w:rPr>
              <w:t>年1月1日以来（以落款时间为准），投标供应商管理的（含正在履约）住宅物业项目获得物业行业主管部门</w:t>
            </w:r>
            <w:r>
              <w:rPr>
                <w:rFonts w:hint="eastAsia" w:ascii="宋体" w:hAnsi="宋体" w:eastAsia="宋体" w:cs="宋体"/>
                <w:sz w:val="21"/>
                <w:szCs w:val="21"/>
                <w:highlight w:val="none"/>
                <w:lang w:val="en-US" w:eastAsia="zh-CN"/>
              </w:rPr>
              <w:t>或协会</w:t>
            </w:r>
            <w:r>
              <w:rPr>
                <w:rFonts w:hint="eastAsia" w:ascii="宋体" w:hAnsi="宋体" w:eastAsia="宋体" w:cs="宋体"/>
                <w:sz w:val="21"/>
                <w:szCs w:val="21"/>
                <w:highlight w:val="none"/>
                <w:lang w:val="en-US"/>
              </w:rPr>
              <w:t>授予的“</w:t>
            </w:r>
            <w:r>
              <w:rPr>
                <w:rFonts w:hint="eastAsia" w:ascii="宋体" w:hAnsi="宋体" w:eastAsia="宋体" w:cs="宋体"/>
                <w:sz w:val="21"/>
                <w:szCs w:val="21"/>
                <w:highlight w:val="none"/>
                <w:lang w:val="en-US" w:eastAsia="zh-CN"/>
              </w:rPr>
              <w:t>示范住宅小区</w:t>
            </w:r>
            <w:r>
              <w:rPr>
                <w:rFonts w:hint="eastAsia" w:ascii="宋体" w:hAnsi="宋体" w:eastAsia="宋体" w:cs="宋体"/>
                <w:sz w:val="21"/>
                <w:szCs w:val="21"/>
                <w:highlight w:val="none"/>
                <w:lang w:val="en-US"/>
              </w:rPr>
              <w:t>”荣誉</w:t>
            </w:r>
            <w:r>
              <w:rPr>
                <w:rFonts w:hint="eastAsia" w:ascii="宋体" w:hAnsi="宋体" w:eastAsia="宋体" w:cs="宋体"/>
                <w:sz w:val="21"/>
                <w:szCs w:val="21"/>
                <w:highlight w:val="none"/>
                <w:lang w:val="en-US" w:eastAsia="zh-CN"/>
              </w:rPr>
              <w:t>，</w:t>
            </w:r>
            <w:r>
              <w:rPr>
                <w:rFonts w:hint="eastAsia" w:ascii="宋体" w:hAnsi="宋体" w:eastAsia="宋体" w:cs="宋体"/>
                <w:sz w:val="21"/>
                <w:szCs w:val="21"/>
                <w:highlight w:val="none"/>
                <w:lang w:val="en-US"/>
              </w:rPr>
              <w:t>得</w:t>
            </w:r>
            <w:r>
              <w:rPr>
                <w:rFonts w:hint="eastAsia" w:ascii="宋体" w:hAnsi="宋体" w:eastAsia="宋体" w:cs="宋体"/>
                <w:sz w:val="21"/>
                <w:szCs w:val="21"/>
                <w:highlight w:val="none"/>
                <w:lang w:val="en-US" w:eastAsia="zh-CN"/>
              </w:rPr>
              <w:t>5</w:t>
            </w:r>
            <w:r>
              <w:rPr>
                <w:rFonts w:hint="eastAsia" w:ascii="宋体" w:hAnsi="宋体" w:eastAsia="宋体" w:cs="宋体"/>
                <w:sz w:val="21"/>
                <w:szCs w:val="21"/>
                <w:highlight w:val="none"/>
                <w:lang w:val="en-US"/>
              </w:rPr>
              <w:t>分</w:t>
            </w:r>
            <w:r>
              <w:rPr>
                <w:rFonts w:hint="eastAsia" w:ascii="宋体" w:hAnsi="宋体" w:eastAsia="宋体" w:cs="宋体"/>
                <w:sz w:val="21"/>
                <w:szCs w:val="21"/>
                <w:highlight w:val="none"/>
                <w:lang w:val="en-US" w:eastAsia="zh-CN"/>
              </w:rPr>
              <w:t>。</w:t>
            </w:r>
          </w:p>
          <w:p>
            <w:pPr>
              <w:pStyle w:val="91"/>
              <w:spacing w:before="2" w:line="410" w:lineRule="atLeast"/>
              <w:ind w:right="117"/>
              <w:jc w:val="left"/>
              <w:rPr>
                <w:rFonts w:hint="eastAsia" w:ascii="宋体" w:hAnsi="宋体" w:eastAsia="宋体" w:cs="宋体"/>
                <w:sz w:val="21"/>
                <w:szCs w:val="21"/>
                <w:highlight w:val="none"/>
                <w:lang w:val="en-US"/>
              </w:rPr>
            </w:pPr>
            <w:r>
              <w:rPr>
                <w:rFonts w:hint="eastAsia" w:ascii="宋体" w:hAnsi="宋体" w:eastAsia="宋体" w:cs="宋体"/>
                <w:sz w:val="21"/>
                <w:szCs w:val="21"/>
                <w:highlight w:val="none"/>
                <w:lang w:val="en-US"/>
              </w:rPr>
              <w:t>注：投标文件中须同时提供：提供获奖证书等证明材料（扫描件或影印件）。以上材料提供扫描件或影印件，提供的以上材料须能体现投标供应商名称，如无法体现，须另附颁奖单位的相关证明材料（扫描件或影印件）。</w:t>
            </w:r>
          </w:p>
          <w:p>
            <w:pPr>
              <w:pStyle w:val="91"/>
              <w:spacing w:before="2" w:line="410" w:lineRule="atLeast"/>
              <w:ind w:right="117"/>
              <w:jc w:val="left"/>
              <w:rPr>
                <w:rFonts w:hint="eastAsia" w:ascii="宋体" w:hAnsi="宋体" w:eastAsia="宋体" w:cs="宋体"/>
                <w:b/>
                <w:bCs/>
                <w:sz w:val="21"/>
                <w:szCs w:val="21"/>
                <w:highlight w:val="none"/>
                <w:lang w:val="en-US"/>
              </w:rPr>
            </w:pPr>
            <w:r>
              <w:rPr>
                <w:rFonts w:hint="eastAsia" w:ascii="宋体" w:hAnsi="宋体" w:eastAsia="宋体" w:cs="宋体"/>
                <w:b/>
                <w:bCs/>
                <w:sz w:val="21"/>
                <w:szCs w:val="21"/>
                <w:highlight w:val="none"/>
                <w:lang w:val="en-US"/>
              </w:rPr>
              <w:t>3、体系认证</w:t>
            </w:r>
          </w:p>
          <w:p>
            <w:pPr>
              <w:pStyle w:val="91"/>
              <w:spacing w:before="2" w:line="410" w:lineRule="atLeast"/>
              <w:ind w:right="117"/>
              <w:jc w:val="left"/>
              <w:rPr>
                <w:rFonts w:hint="eastAsia" w:ascii="宋体" w:hAnsi="宋体" w:eastAsia="宋体" w:cs="宋体"/>
                <w:sz w:val="21"/>
                <w:szCs w:val="21"/>
                <w:highlight w:val="none"/>
                <w:lang w:val="en-US"/>
              </w:rPr>
            </w:pPr>
            <w:r>
              <w:rPr>
                <w:rFonts w:hint="eastAsia" w:ascii="宋体" w:hAnsi="宋体" w:eastAsia="宋体" w:cs="宋体"/>
                <w:sz w:val="21"/>
                <w:szCs w:val="21"/>
                <w:highlight w:val="none"/>
                <w:lang w:val="en-US"/>
              </w:rPr>
              <w:t>投标人同时具有经中国国家认证认可监督管理委员会认可的认证机构颁发的有效期内的质量管理体系认证证书、环境管理体系认证证书、职业健康安全管理体系认证证书、能源管理体认证证书、</w:t>
            </w:r>
            <w:r>
              <w:rPr>
                <w:rFonts w:hint="eastAsia" w:ascii="宋体" w:hAnsi="宋体" w:eastAsia="宋体" w:cs="宋体"/>
                <w:sz w:val="21"/>
                <w:szCs w:val="21"/>
                <w:highlight w:val="none"/>
                <w:lang w:val="en-US" w:eastAsia="zh-CN"/>
              </w:rPr>
              <w:t>信息安全</w:t>
            </w:r>
            <w:r>
              <w:rPr>
                <w:rFonts w:hint="eastAsia" w:ascii="宋体" w:hAnsi="宋体" w:eastAsia="宋体" w:cs="宋体"/>
                <w:sz w:val="21"/>
                <w:szCs w:val="21"/>
                <w:highlight w:val="none"/>
                <w:lang w:val="en-US"/>
              </w:rPr>
              <w:t>管理体系认证证书；全部满足得 5 分，缺一不得分。</w:t>
            </w:r>
          </w:p>
          <w:p>
            <w:pPr>
              <w:pStyle w:val="91"/>
              <w:spacing w:before="2" w:line="410" w:lineRule="atLeast"/>
              <w:ind w:right="117"/>
              <w:jc w:val="left"/>
              <w:rPr>
                <w:rFonts w:hint="eastAsia" w:ascii="宋体" w:hAnsi="宋体" w:eastAsia="宋体" w:cs="宋体"/>
                <w:sz w:val="21"/>
                <w:szCs w:val="21"/>
                <w:highlight w:val="none"/>
              </w:rPr>
            </w:pPr>
            <w:r>
              <w:rPr>
                <w:rFonts w:hint="eastAsia" w:ascii="宋体" w:hAnsi="宋体" w:eastAsia="宋体" w:cs="宋体"/>
                <w:sz w:val="21"/>
                <w:szCs w:val="21"/>
                <w:highlight w:val="none"/>
                <w:lang w:val="en-US"/>
              </w:rPr>
              <w:t>注：投标文件中须同时提供上述证书扫描件或影印件及全国认证认可信息公共服务平台证书信息查询截图，未提供或提供不全的不得分。</w:t>
            </w:r>
          </w:p>
        </w:tc>
        <w:tc>
          <w:tcPr>
            <w:tcW w:w="765" w:type="dxa"/>
            <w:noWrap w:val="0"/>
            <w:vAlign w:val="center"/>
          </w:tcPr>
          <w:p>
            <w:pPr>
              <w:pStyle w:val="20"/>
              <w:spacing w:line="360" w:lineRule="auto"/>
              <w:ind w:left="0" w:leftChars="0" w:right="0" w:rightChars="0" w:firstLine="0" w:firstLineChars="0"/>
              <w:jc w:val="center"/>
              <w:outlineLvl w:val="1"/>
              <w:rPr>
                <w:rFonts w:hint="eastAsia" w:ascii="宋体" w:hAnsi="宋体" w:eastAsia="宋体" w:cs="宋体"/>
                <w:sz w:val="21"/>
                <w:szCs w:val="21"/>
                <w:highlight w:val="none"/>
              </w:rPr>
            </w:pPr>
            <w:r>
              <w:rPr>
                <w:rFonts w:hint="eastAsia" w:ascii="宋体" w:hAnsi="宋体" w:eastAsia="宋体" w:cs="宋体"/>
                <w:sz w:val="21"/>
                <w:szCs w:val="21"/>
                <w:highlight w:val="none"/>
                <w:lang w:val="en-US" w:eastAsia="zh-CN"/>
              </w:rPr>
              <w:t>15</w:t>
            </w:r>
            <w:r>
              <w:rPr>
                <w:rFonts w:hint="eastAsia" w:ascii="宋体" w:hAnsi="宋体" w:eastAsia="宋体" w:cs="宋体"/>
                <w:sz w:val="21"/>
                <w:szCs w:val="21"/>
                <w:highlight w:val="none"/>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34" w:hRule="atLeast"/>
          <w:jc w:val="center"/>
        </w:trPr>
        <w:tc>
          <w:tcPr>
            <w:tcW w:w="732" w:type="dxa"/>
            <w:noWrap w:val="0"/>
            <w:vAlign w:val="center"/>
          </w:tcPr>
          <w:p>
            <w:pPr>
              <w:pStyle w:val="20"/>
              <w:spacing w:line="360" w:lineRule="auto"/>
              <w:ind w:left="0" w:leftChars="0" w:right="0" w:rightChars="0" w:firstLine="0" w:firstLineChars="0"/>
              <w:jc w:val="center"/>
              <w:outlineLvl w:val="1"/>
              <w:rPr>
                <w:rFonts w:hint="eastAsia" w:ascii="宋体" w:hAnsi="宋体" w:eastAsia="宋体" w:cs="宋体"/>
                <w:sz w:val="21"/>
                <w:szCs w:val="21"/>
                <w:highlight w:val="none"/>
              </w:rPr>
            </w:pPr>
            <w:r>
              <w:rPr>
                <w:rFonts w:hint="eastAsia" w:ascii="宋体" w:hAnsi="宋体" w:eastAsia="宋体" w:cs="宋体"/>
                <w:sz w:val="21"/>
                <w:szCs w:val="21"/>
                <w:highlight w:val="none"/>
              </w:rPr>
              <w:t>三</w:t>
            </w:r>
          </w:p>
        </w:tc>
        <w:tc>
          <w:tcPr>
            <w:tcW w:w="1275" w:type="dxa"/>
            <w:noWrap w:val="0"/>
            <w:vAlign w:val="center"/>
          </w:tcPr>
          <w:p>
            <w:pPr>
              <w:pStyle w:val="20"/>
              <w:spacing w:line="360" w:lineRule="auto"/>
              <w:ind w:left="0" w:leftChars="0" w:right="0" w:rightChars="0" w:firstLine="0" w:firstLineChars="0"/>
              <w:jc w:val="center"/>
              <w:outlineLvl w:val="1"/>
              <w:rPr>
                <w:rFonts w:hint="eastAsia" w:ascii="宋体" w:hAnsi="宋体" w:eastAsia="宋体" w:cs="宋体"/>
                <w:sz w:val="21"/>
                <w:szCs w:val="21"/>
                <w:highlight w:val="none"/>
                <w:lang w:val="en-US"/>
              </w:rPr>
            </w:pPr>
            <w:r>
              <w:rPr>
                <w:rFonts w:hint="eastAsia" w:ascii="宋体" w:hAnsi="宋体" w:eastAsia="宋体" w:cs="宋体"/>
                <w:sz w:val="21"/>
                <w:szCs w:val="21"/>
                <w:highlight w:val="none"/>
                <w:lang w:val="en-US"/>
              </w:rPr>
              <w:t>商务标</w:t>
            </w:r>
          </w:p>
          <w:p>
            <w:pPr>
              <w:pStyle w:val="20"/>
              <w:spacing w:line="360" w:lineRule="auto"/>
              <w:ind w:left="0" w:leftChars="0" w:right="0" w:rightChars="0" w:firstLine="0" w:firstLineChars="0"/>
              <w:jc w:val="center"/>
              <w:outlineLvl w:val="1"/>
              <w:rPr>
                <w:rFonts w:hint="eastAsia" w:ascii="宋体" w:hAnsi="宋体" w:eastAsia="宋体" w:cs="宋体"/>
                <w:sz w:val="21"/>
                <w:szCs w:val="21"/>
                <w:highlight w:val="none"/>
                <w:lang w:val="en-US"/>
              </w:rPr>
            </w:pPr>
            <w:r>
              <w:rPr>
                <w:rFonts w:hint="eastAsia" w:ascii="宋体" w:hAnsi="宋体" w:eastAsia="宋体" w:cs="宋体"/>
                <w:sz w:val="21"/>
                <w:szCs w:val="21"/>
                <w:highlight w:val="none"/>
                <w:lang w:val="en-US"/>
              </w:rPr>
              <w:t>(</w:t>
            </w:r>
            <w:r>
              <w:rPr>
                <w:rFonts w:hint="eastAsia" w:ascii="宋体" w:hAnsi="宋体" w:eastAsia="宋体" w:cs="宋体"/>
                <w:sz w:val="21"/>
                <w:szCs w:val="21"/>
                <w:highlight w:val="none"/>
                <w:lang w:val="en-US" w:eastAsia="zh-CN"/>
              </w:rPr>
              <w:t>10</w:t>
            </w:r>
            <w:r>
              <w:rPr>
                <w:rFonts w:hint="eastAsia" w:ascii="宋体" w:hAnsi="宋体" w:eastAsia="宋体" w:cs="宋体"/>
                <w:sz w:val="21"/>
                <w:szCs w:val="21"/>
                <w:highlight w:val="none"/>
                <w:lang w:val="en-US"/>
              </w:rPr>
              <w:t>分)</w:t>
            </w:r>
          </w:p>
        </w:tc>
        <w:tc>
          <w:tcPr>
            <w:tcW w:w="6568" w:type="dxa"/>
            <w:noWrap w:val="0"/>
            <w:vAlign w:val="center"/>
          </w:tcPr>
          <w:p>
            <w:pPr>
              <w:pStyle w:val="91"/>
              <w:spacing w:before="2" w:line="410" w:lineRule="atLeast"/>
              <w:ind w:right="117"/>
              <w:jc w:val="left"/>
              <w:rPr>
                <w:rFonts w:hint="eastAsia" w:ascii="宋体" w:hAnsi="宋体" w:eastAsia="宋体" w:cs="宋体"/>
                <w:sz w:val="21"/>
                <w:szCs w:val="21"/>
                <w:highlight w:val="none"/>
                <w:lang w:val="en-US"/>
              </w:rPr>
            </w:pPr>
            <w:r>
              <w:rPr>
                <w:rFonts w:hint="eastAsia" w:ascii="宋体" w:hAnsi="宋体" w:eastAsia="宋体" w:cs="宋体"/>
                <w:sz w:val="21"/>
                <w:szCs w:val="21"/>
                <w:highlight w:val="none"/>
                <w:lang w:val="en-US"/>
              </w:rPr>
              <w:t>1、采用低价有效报价为基准价法。</w:t>
            </w:r>
          </w:p>
          <w:p>
            <w:pPr>
              <w:pStyle w:val="91"/>
              <w:spacing w:before="2" w:line="410" w:lineRule="atLeast"/>
              <w:ind w:right="117"/>
              <w:jc w:val="left"/>
              <w:rPr>
                <w:rFonts w:hint="eastAsia" w:ascii="宋体" w:hAnsi="宋体" w:eastAsia="宋体" w:cs="宋体"/>
                <w:sz w:val="21"/>
                <w:szCs w:val="21"/>
                <w:highlight w:val="none"/>
                <w:lang w:val="en-US"/>
              </w:rPr>
            </w:pPr>
            <w:r>
              <w:rPr>
                <w:rFonts w:hint="eastAsia" w:ascii="宋体" w:hAnsi="宋体" w:eastAsia="宋体" w:cs="宋体"/>
                <w:sz w:val="21"/>
                <w:szCs w:val="21"/>
                <w:highlight w:val="none"/>
                <w:lang w:val="en-US"/>
              </w:rPr>
              <w:t>2、满足招标文件要求的最低投标报价为评标基准价，投标人的价格得分统一按照下列公式计算:</w:t>
            </w:r>
          </w:p>
          <w:p>
            <w:pPr>
              <w:pStyle w:val="91"/>
              <w:spacing w:before="2" w:line="410" w:lineRule="atLeast"/>
              <w:ind w:right="117"/>
              <w:jc w:val="left"/>
              <w:rPr>
                <w:rFonts w:hint="eastAsia" w:ascii="宋体" w:hAnsi="宋体" w:eastAsia="宋体" w:cs="宋体"/>
                <w:sz w:val="21"/>
                <w:szCs w:val="21"/>
                <w:highlight w:val="none"/>
                <w:lang w:val="en-US"/>
              </w:rPr>
            </w:pPr>
            <w:r>
              <w:rPr>
                <w:rFonts w:hint="eastAsia" w:ascii="宋体" w:hAnsi="宋体" w:eastAsia="宋体" w:cs="宋体"/>
                <w:sz w:val="21"/>
                <w:szCs w:val="21"/>
                <w:highlight w:val="none"/>
                <w:lang w:val="en-US"/>
              </w:rPr>
              <w:t>标报价得分=(评标基准价/投标报价)×</w:t>
            </w:r>
            <w:r>
              <w:rPr>
                <w:rFonts w:hint="eastAsia" w:ascii="宋体" w:hAnsi="宋体" w:eastAsia="宋体" w:cs="宋体"/>
                <w:sz w:val="21"/>
                <w:szCs w:val="21"/>
                <w:highlight w:val="none"/>
                <w:lang w:val="en-US" w:eastAsia="zh-CN"/>
              </w:rPr>
              <w:t>10</w:t>
            </w:r>
            <w:r>
              <w:rPr>
                <w:rFonts w:hint="eastAsia" w:ascii="宋体" w:hAnsi="宋体" w:eastAsia="宋体" w:cs="宋体"/>
                <w:sz w:val="21"/>
                <w:szCs w:val="21"/>
                <w:highlight w:val="none"/>
                <w:lang w:val="en-US"/>
              </w:rPr>
              <w:t>%×100</w:t>
            </w:r>
          </w:p>
        </w:tc>
        <w:tc>
          <w:tcPr>
            <w:tcW w:w="765" w:type="dxa"/>
            <w:noWrap w:val="0"/>
            <w:vAlign w:val="center"/>
          </w:tcPr>
          <w:p>
            <w:pPr>
              <w:pStyle w:val="20"/>
              <w:spacing w:line="360" w:lineRule="auto"/>
              <w:ind w:left="0" w:leftChars="0" w:right="0" w:rightChars="0" w:firstLine="0" w:firstLineChars="0"/>
              <w:jc w:val="center"/>
              <w:outlineLvl w:val="1"/>
              <w:rPr>
                <w:rFonts w:hint="eastAsia" w:ascii="宋体" w:hAnsi="宋体" w:eastAsia="宋体" w:cs="宋体"/>
                <w:b/>
                <w:kern w:val="0"/>
                <w:sz w:val="21"/>
                <w:szCs w:val="21"/>
                <w:highlight w:val="none"/>
              </w:rPr>
            </w:pPr>
            <w:r>
              <w:rPr>
                <w:rFonts w:hint="eastAsia" w:ascii="宋体" w:hAnsi="宋体" w:eastAsia="宋体" w:cs="宋体"/>
                <w:bCs/>
                <w:kern w:val="0"/>
                <w:sz w:val="21"/>
                <w:szCs w:val="21"/>
                <w:highlight w:val="none"/>
                <w:lang w:val="en-US" w:eastAsia="zh-CN"/>
              </w:rPr>
              <w:t>10</w:t>
            </w:r>
            <w:r>
              <w:rPr>
                <w:rFonts w:hint="eastAsia" w:ascii="宋体" w:hAnsi="宋体" w:eastAsia="宋体" w:cs="宋体"/>
                <w:bCs/>
                <w:kern w:val="0"/>
                <w:sz w:val="21"/>
                <w:szCs w:val="21"/>
                <w:highlight w:val="none"/>
              </w:rPr>
              <w:t>分</w:t>
            </w:r>
          </w:p>
        </w:tc>
      </w:tr>
    </w:tbl>
    <w:p>
      <w:pPr>
        <w:pStyle w:val="2"/>
        <w:rPr>
          <w:rFonts w:hint="eastAsia"/>
        </w:rPr>
      </w:pPr>
    </w:p>
    <w:p>
      <w:pPr>
        <w:spacing w:line="360" w:lineRule="auto"/>
        <w:ind w:firstLine="480" w:firstLineChars="200"/>
        <w:rPr>
          <w:rFonts w:hint="eastAsia" w:ascii="宋体" w:hAnsi="宋体"/>
          <w:sz w:val="24"/>
          <w:szCs w:val="28"/>
        </w:rPr>
      </w:pPr>
      <w:r>
        <w:rPr>
          <w:rFonts w:hint="eastAsia" w:ascii="宋体" w:hAnsi="宋体"/>
          <w:sz w:val="24"/>
          <w:szCs w:val="28"/>
        </w:rPr>
        <w:t>8.4技术标评审结束后进行商务标开标、评标。如有效投标人不少于三家，招标代理公司将宣布各投标人的技术标得分。</w:t>
      </w:r>
    </w:p>
    <w:p>
      <w:pPr>
        <w:spacing w:line="360" w:lineRule="auto"/>
        <w:ind w:firstLine="480" w:firstLineChars="200"/>
        <w:rPr>
          <w:rFonts w:hint="eastAsia" w:ascii="宋体" w:hAnsi="宋体"/>
          <w:sz w:val="24"/>
          <w:szCs w:val="28"/>
        </w:rPr>
      </w:pPr>
      <w:r>
        <w:rPr>
          <w:rFonts w:hint="eastAsia" w:ascii="宋体" w:hAnsi="宋体"/>
          <w:sz w:val="24"/>
          <w:szCs w:val="28"/>
        </w:rPr>
        <w:t>8.5商务标初审：开标一览表格式、填写要求符合招标文件规定并加盖投标人公章，且投标报价符合招标文件要求。未通过商务标初审的，投标无效。</w:t>
      </w:r>
    </w:p>
    <w:p>
      <w:pPr>
        <w:adjustRightInd w:val="0"/>
        <w:snapToGrid w:val="0"/>
        <w:spacing w:line="360" w:lineRule="auto"/>
        <w:ind w:right="-10" w:firstLine="480" w:firstLineChars="200"/>
        <w:rPr>
          <w:rFonts w:hint="eastAsia" w:ascii="宋体" w:hAnsi="宋体"/>
          <w:sz w:val="24"/>
        </w:rPr>
      </w:pPr>
      <w:r>
        <w:rPr>
          <w:rFonts w:hint="eastAsia" w:ascii="宋体" w:hAnsi="宋体"/>
          <w:sz w:val="24"/>
          <w:szCs w:val="28"/>
        </w:rPr>
        <w:t>8.6 商务标初审合格后进行商务标计算(满分20分，计算过程和结果均保留2位小数，第3位四舍五入</w:t>
      </w:r>
      <w:r>
        <w:rPr>
          <w:rFonts w:hint="eastAsia" w:ascii="宋体" w:hAnsi="宋体"/>
          <w:sz w:val="24"/>
        </w:rPr>
        <w:t>）。</w:t>
      </w:r>
    </w:p>
    <w:p>
      <w:pPr>
        <w:adjustRightInd w:val="0"/>
        <w:snapToGrid w:val="0"/>
        <w:spacing w:line="360" w:lineRule="auto"/>
        <w:ind w:right="-10" w:firstLine="480" w:firstLineChars="200"/>
        <w:rPr>
          <w:rFonts w:hint="eastAsia" w:ascii="宋体" w:hAnsi="宋体"/>
          <w:sz w:val="24"/>
        </w:rPr>
      </w:pPr>
      <w:r>
        <w:rPr>
          <w:rFonts w:hint="eastAsia" w:ascii="宋体" w:hAnsi="宋体"/>
          <w:sz w:val="24"/>
        </w:rPr>
        <w:t>8.7 汇总排序</w:t>
      </w:r>
    </w:p>
    <w:p>
      <w:pPr>
        <w:adjustRightInd w:val="0"/>
        <w:snapToGrid w:val="0"/>
        <w:spacing w:line="360" w:lineRule="auto"/>
        <w:ind w:right="-10" w:firstLine="480" w:firstLineChars="200"/>
        <w:rPr>
          <w:rFonts w:hint="eastAsia" w:ascii="宋体" w:hAnsi="宋体"/>
          <w:sz w:val="24"/>
        </w:rPr>
      </w:pPr>
      <w:r>
        <w:rPr>
          <w:rFonts w:hint="eastAsia" w:ascii="宋体" w:hAnsi="宋体"/>
          <w:sz w:val="24"/>
        </w:rPr>
        <w:t>将每个合格投标人的技术标得分再加上商务标得分，即为该投标人的最终得分。投标人的各项得分均保留小数点后两位。（四舍五入）</w:t>
      </w:r>
    </w:p>
    <w:p>
      <w:pPr>
        <w:adjustRightInd w:val="0"/>
        <w:snapToGrid w:val="0"/>
        <w:spacing w:line="360" w:lineRule="auto"/>
        <w:ind w:right="-10" w:firstLine="480" w:firstLineChars="200"/>
        <w:rPr>
          <w:rFonts w:hint="eastAsia" w:ascii="宋体" w:hAnsi="宋体"/>
          <w:sz w:val="24"/>
        </w:rPr>
      </w:pPr>
      <w:r>
        <w:rPr>
          <w:rFonts w:hint="eastAsia" w:ascii="宋体" w:hAnsi="宋体"/>
          <w:sz w:val="24"/>
        </w:rPr>
        <w:t>按照入选投标人最终得分由高到低排出中标候选人。得分相同的，按技术标得分由高到低顺序排列。技术标得分最终得分均相同的，则由评标委员会投票产生第一中标候选人。</w:t>
      </w:r>
    </w:p>
    <w:p>
      <w:pPr>
        <w:spacing w:line="360" w:lineRule="auto"/>
        <w:ind w:firstLine="480" w:firstLineChars="200"/>
        <w:rPr>
          <w:rFonts w:hint="eastAsia" w:ascii="宋体" w:hAnsi="宋体"/>
          <w:b w:val="0"/>
          <w:bCs/>
          <w:sz w:val="24"/>
          <w:szCs w:val="28"/>
        </w:rPr>
      </w:pPr>
      <w:r>
        <w:rPr>
          <w:rFonts w:hint="eastAsia" w:ascii="宋体" w:hAnsi="宋体"/>
          <w:b w:val="0"/>
          <w:bCs/>
          <w:sz w:val="24"/>
          <w:szCs w:val="28"/>
        </w:rPr>
        <w:t>商务标评审结束后，如有效投标人不少于三家，招标人将宣布（且仅宣布）各投标人的最终总得分以及排名次序。招标人不对投标人得分情况做任何解释。除技术标得分及最终总得分外，不公布其他评分明细。</w:t>
      </w:r>
    </w:p>
    <w:p>
      <w:pPr>
        <w:pStyle w:val="20"/>
        <w:spacing w:line="360" w:lineRule="auto"/>
        <w:ind w:right="-10" w:firstLine="482"/>
        <w:rPr>
          <w:rFonts w:hint="eastAsia" w:ascii="宋体" w:hAnsi="宋体" w:eastAsia="宋体"/>
          <w:sz w:val="24"/>
        </w:rPr>
      </w:pPr>
      <w:r>
        <w:rPr>
          <w:rFonts w:hint="eastAsia" w:ascii="宋体" w:hAnsi="宋体" w:eastAsia="宋体"/>
          <w:b/>
          <w:sz w:val="24"/>
        </w:rPr>
        <w:t>第</w:t>
      </w:r>
      <w:r>
        <w:rPr>
          <w:rFonts w:hint="eastAsia" w:ascii="宋体" w:hAnsi="宋体" w:eastAsia="宋体"/>
          <w:b/>
          <w:bCs/>
          <w:sz w:val="24"/>
        </w:rPr>
        <w:t>九</w:t>
      </w:r>
      <w:r>
        <w:rPr>
          <w:rFonts w:hint="eastAsia" w:ascii="宋体" w:hAnsi="宋体" w:eastAsia="宋体"/>
          <w:b/>
          <w:sz w:val="24"/>
        </w:rPr>
        <w:t xml:space="preserve">条 </w:t>
      </w:r>
      <w:r>
        <w:rPr>
          <w:rFonts w:hint="eastAsia" w:ascii="宋体" w:hAnsi="宋体" w:eastAsia="宋体"/>
          <w:sz w:val="24"/>
        </w:rPr>
        <w:t>各投标人的得分一经得出，并核对无误后，任何人不得更改。</w:t>
      </w:r>
    </w:p>
    <w:p>
      <w:pPr>
        <w:adjustRightInd w:val="0"/>
        <w:snapToGrid w:val="0"/>
        <w:spacing w:line="360" w:lineRule="auto"/>
        <w:ind w:right="-10" w:firstLine="482" w:firstLineChars="200"/>
        <w:rPr>
          <w:rFonts w:hint="eastAsia" w:ascii="宋体" w:hAnsi="宋体"/>
          <w:b/>
          <w:sz w:val="24"/>
        </w:rPr>
      </w:pPr>
      <w:r>
        <w:rPr>
          <w:rFonts w:hint="eastAsia" w:ascii="宋体" w:hAnsi="宋体"/>
          <w:b/>
          <w:sz w:val="24"/>
        </w:rPr>
        <w:t>第</w:t>
      </w:r>
      <w:r>
        <w:rPr>
          <w:rFonts w:hint="eastAsia" w:ascii="宋体" w:hAnsi="宋体"/>
          <w:b/>
          <w:bCs/>
          <w:sz w:val="24"/>
        </w:rPr>
        <w:t>十</w:t>
      </w:r>
      <w:r>
        <w:rPr>
          <w:rFonts w:hint="eastAsia" w:ascii="宋体" w:hAnsi="宋体"/>
          <w:b/>
          <w:sz w:val="24"/>
        </w:rPr>
        <w:t xml:space="preserve">条 </w:t>
      </w:r>
      <w:r>
        <w:rPr>
          <w:rFonts w:hint="eastAsia" w:ascii="宋体" w:hAnsi="宋体"/>
          <w:sz w:val="24"/>
        </w:rPr>
        <w:t>评委会在评标过程中发现的问题，应当及时作出处理或者向招标人提出处理建议，并作书面记录。</w:t>
      </w:r>
    </w:p>
    <w:p>
      <w:pPr>
        <w:adjustRightInd w:val="0"/>
        <w:snapToGrid w:val="0"/>
        <w:spacing w:line="360" w:lineRule="auto"/>
        <w:ind w:right="-10" w:firstLine="482" w:firstLineChars="200"/>
        <w:rPr>
          <w:rFonts w:hint="eastAsia" w:ascii="宋体" w:hAnsi="宋体"/>
          <w:sz w:val="24"/>
        </w:rPr>
      </w:pPr>
      <w:r>
        <w:rPr>
          <w:rFonts w:hint="eastAsia" w:ascii="宋体" w:hAnsi="宋体"/>
          <w:b/>
          <w:sz w:val="24"/>
        </w:rPr>
        <w:t>第</w:t>
      </w:r>
      <w:r>
        <w:rPr>
          <w:rFonts w:hint="eastAsia" w:ascii="宋体" w:hAnsi="宋体"/>
          <w:b/>
          <w:bCs/>
          <w:sz w:val="24"/>
        </w:rPr>
        <w:t>十</w:t>
      </w:r>
      <w:r>
        <w:rPr>
          <w:rFonts w:hint="eastAsia" w:ascii="宋体" w:hAnsi="宋体"/>
          <w:b/>
          <w:sz w:val="24"/>
        </w:rPr>
        <w:t xml:space="preserve">一条 </w:t>
      </w:r>
      <w:r>
        <w:rPr>
          <w:rFonts w:hint="eastAsia" w:ascii="宋体" w:hAnsi="宋体"/>
          <w:sz w:val="24"/>
        </w:rPr>
        <w:t>在评审过程中，评委会发现投标人的报价或者某些分项报价可能低于成本或者高于招标文件设定的最高投标限价的，评委会将以询标的方式告知并要求投标人以书面方式进行必要的说明或补正，经评委会认定其报价低于成本或者高于招标文件设定的最高投标限价的，将否决其投标。对于询标后判定为不符合招标文件的报价，评委要提出充足的否定理由，并予以书面记录。最终对投标人的评审结论分为通过和未通过。</w:t>
      </w:r>
    </w:p>
    <w:p>
      <w:pPr>
        <w:adjustRightInd w:val="0"/>
        <w:snapToGrid w:val="0"/>
        <w:spacing w:line="360" w:lineRule="auto"/>
        <w:ind w:right="-10" w:firstLine="482" w:firstLineChars="200"/>
        <w:rPr>
          <w:rFonts w:ascii="宋体" w:hAnsi="宋体"/>
          <w:sz w:val="24"/>
        </w:rPr>
      </w:pPr>
      <w:r>
        <w:rPr>
          <w:rFonts w:hint="eastAsia" w:ascii="宋体" w:hAnsi="宋体"/>
          <w:b/>
          <w:sz w:val="24"/>
        </w:rPr>
        <w:t>第十二条</w:t>
      </w:r>
      <w:r>
        <w:rPr>
          <w:rFonts w:hint="eastAsia" w:ascii="宋体" w:hAnsi="宋体"/>
          <w:sz w:val="24"/>
        </w:rPr>
        <w:t xml:space="preserve"> 投标人投标报价与公布的预算价（或控制价)相比降幅过小，或投标人投标报价明显缺乏竞争性的，评委会可以否决所有投标。</w:t>
      </w:r>
    </w:p>
    <w:p>
      <w:pPr>
        <w:adjustRightInd w:val="0"/>
        <w:snapToGrid w:val="0"/>
        <w:spacing w:line="360" w:lineRule="auto"/>
        <w:ind w:right="-10" w:firstLine="482" w:firstLineChars="200"/>
        <w:rPr>
          <w:rFonts w:hint="eastAsia" w:ascii="宋体" w:hAnsi="宋体"/>
          <w:sz w:val="24"/>
        </w:rPr>
      </w:pPr>
      <w:r>
        <w:rPr>
          <w:rFonts w:hint="eastAsia" w:ascii="宋体" w:hAnsi="宋体"/>
          <w:b/>
          <w:bCs/>
          <w:sz w:val="24"/>
        </w:rPr>
        <w:t>第十三条</w:t>
      </w:r>
      <w:r>
        <w:rPr>
          <w:rFonts w:hint="eastAsia" w:ascii="宋体" w:hAnsi="宋体"/>
          <w:sz w:val="24"/>
        </w:rPr>
        <w:t xml:space="preserve"> 评标后，评委会应写出评标报告并签字。评标报告是评委会根据全体评标成员签字的原始评标记录和评标结果编写的报告，评委会全体成员及监督员均须在评标报告上签字。评标报告应如实记录本次评标的主要过程，全面反映评标过程中的各种不同的意见，以及其他澄清、说明、补正事项。</w:t>
      </w:r>
    </w:p>
    <w:p>
      <w:pPr>
        <w:adjustRightInd w:val="0"/>
        <w:snapToGrid w:val="0"/>
        <w:spacing w:line="360" w:lineRule="auto"/>
        <w:ind w:right="-10"/>
        <w:jc w:val="center"/>
        <w:rPr>
          <w:rFonts w:hint="eastAsia" w:ascii="宋体" w:hAnsi="宋体"/>
          <w:sz w:val="24"/>
        </w:rPr>
      </w:pPr>
      <w:r>
        <w:rPr>
          <w:rFonts w:hint="eastAsia" w:ascii="宋体" w:hAnsi="宋体"/>
          <w:b/>
          <w:sz w:val="24"/>
        </w:rPr>
        <w:t>三．    评标纪律</w:t>
      </w:r>
    </w:p>
    <w:p>
      <w:pPr>
        <w:adjustRightInd w:val="0"/>
        <w:snapToGrid w:val="0"/>
        <w:spacing w:line="360" w:lineRule="auto"/>
        <w:ind w:right="-10"/>
        <w:rPr>
          <w:rFonts w:ascii="宋体" w:hAnsi="宋体"/>
          <w:sz w:val="24"/>
        </w:rPr>
      </w:pPr>
      <w:r>
        <w:rPr>
          <w:rFonts w:ascii="宋体" w:hAnsi="宋体"/>
          <w:sz w:val="24"/>
        </w:rPr>
        <w:t xml:space="preserve">    </w:t>
      </w:r>
      <w:r>
        <w:rPr>
          <w:rFonts w:hint="eastAsia" w:ascii="宋体" w:hAnsi="宋体"/>
          <w:b/>
          <w:sz w:val="24"/>
        </w:rPr>
        <w:t>第十</w:t>
      </w:r>
      <w:r>
        <w:rPr>
          <w:rFonts w:hint="eastAsia" w:ascii="宋体" w:hAnsi="宋体"/>
          <w:b/>
          <w:bCs/>
          <w:sz w:val="24"/>
        </w:rPr>
        <w:t>四</w:t>
      </w:r>
      <w:r>
        <w:rPr>
          <w:rFonts w:hint="eastAsia" w:ascii="宋体" w:hAnsi="宋体"/>
          <w:b/>
          <w:sz w:val="24"/>
        </w:rPr>
        <w:t>条</w:t>
      </w:r>
      <w:r>
        <w:rPr>
          <w:rFonts w:hint="eastAsia" w:ascii="宋体" w:hAnsi="宋体"/>
          <w:sz w:val="24"/>
        </w:rPr>
        <w:t xml:space="preserve"> 评委会和评标工作人员应严格遵守国家的法律、法规和规章制度；严格按照本次招标文件进行评标；公正廉洁、不徇私情，不得损害国家利益；保护招、投标人的合法权益。</w:t>
      </w:r>
    </w:p>
    <w:p>
      <w:pPr>
        <w:adjustRightInd w:val="0"/>
        <w:snapToGrid w:val="0"/>
        <w:spacing w:line="360" w:lineRule="auto"/>
        <w:ind w:right="-10" w:firstLine="482" w:firstLineChars="200"/>
        <w:rPr>
          <w:rFonts w:hint="eastAsia" w:ascii="宋体" w:hAnsi="宋体"/>
          <w:sz w:val="24"/>
        </w:rPr>
      </w:pPr>
      <w:r>
        <w:rPr>
          <w:rFonts w:hint="eastAsia" w:ascii="宋体" w:hAnsi="宋体"/>
          <w:b/>
          <w:sz w:val="24"/>
        </w:rPr>
        <w:t>第十</w:t>
      </w:r>
      <w:r>
        <w:rPr>
          <w:rFonts w:hint="eastAsia" w:ascii="宋体" w:hAnsi="宋体"/>
          <w:b/>
          <w:bCs/>
          <w:sz w:val="24"/>
        </w:rPr>
        <w:t>五</w:t>
      </w:r>
      <w:r>
        <w:rPr>
          <w:rFonts w:hint="eastAsia" w:ascii="宋体" w:hAnsi="宋体"/>
          <w:b/>
          <w:sz w:val="24"/>
        </w:rPr>
        <w:t>条</w:t>
      </w:r>
      <w:r>
        <w:rPr>
          <w:rFonts w:hint="eastAsia" w:ascii="宋体" w:hAnsi="宋体"/>
          <w:sz w:val="24"/>
        </w:rPr>
        <w:t xml:space="preserve"> 在评标过程中，评委及其他评标工作人员必须对评标情况严格保密，任何人不得将评标情况透露给与投标人有关的单位和个人。如有违反评标纪律的情况发生，将依据《中华人民共和国招标投标法》及其他有关法律法规的规定，追究有关当事人的责任。</w:t>
      </w:r>
    </w:p>
    <w:p>
      <w:pPr>
        <w:adjustRightInd w:val="0"/>
        <w:snapToGrid w:val="0"/>
        <w:spacing w:line="360" w:lineRule="auto"/>
        <w:ind w:right="-10" w:firstLine="482" w:firstLineChars="200"/>
        <w:rPr>
          <w:rFonts w:hint="eastAsia" w:ascii="宋体" w:hAnsi="宋体"/>
          <w:bCs/>
          <w:sz w:val="24"/>
        </w:rPr>
      </w:pPr>
      <w:r>
        <w:rPr>
          <w:rFonts w:hint="eastAsia" w:ascii="宋体" w:hAnsi="宋体"/>
          <w:b/>
          <w:bCs/>
          <w:sz w:val="24"/>
        </w:rPr>
        <w:t xml:space="preserve">第十六条 </w:t>
      </w:r>
      <w:r>
        <w:rPr>
          <w:rFonts w:hint="eastAsia" w:ascii="宋体" w:hAnsi="宋体"/>
          <w:bCs/>
          <w:sz w:val="24"/>
        </w:rPr>
        <w:t>本评标办法的解释权属</w:t>
      </w:r>
      <w:r>
        <w:rPr>
          <w:rFonts w:hint="eastAsia" w:ascii="宋体" w:hAnsi="宋体"/>
          <w:sz w:val="24"/>
          <w:szCs w:val="22"/>
        </w:rPr>
        <w:t>于</w:t>
      </w:r>
      <w:r>
        <w:rPr>
          <w:rFonts w:hint="eastAsia" w:ascii="宋体" w:hAnsi="宋体"/>
          <w:sz w:val="24"/>
          <w:szCs w:val="22"/>
          <w:lang w:eastAsia="zh-CN"/>
        </w:rPr>
        <w:t>安徽国翠玉艺股份有限公司</w:t>
      </w:r>
      <w:r>
        <w:rPr>
          <w:rFonts w:hint="eastAsia" w:ascii="宋体" w:hAnsi="宋体"/>
          <w:bCs/>
          <w:sz w:val="24"/>
        </w:rPr>
        <w:t>。</w:t>
      </w:r>
    </w:p>
    <w:p>
      <w:pPr>
        <w:pStyle w:val="3"/>
        <w:spacing w:before="0" w:after="0" w:line="400" w:lineRule="exact"/>
        <w:rPr>
          <w:rFonts w:hint="eastAsia" w:ascii="黑体" w:hAnsi="宋体" w:eastAsia="黑体"/>
          <w:sz w:val="32"/>
        </w:rPr>
      </w:pPr>
      <w:bookmarkStart w:id="15" w:name="_Toc504073350"/>
      <w:r>
        <w:rPr>
          <w:rFonts w:hint="eastAsia" w:ascii="黑体" w:hAnsi="宋体" w:eastAsia="黑体"/>
          <w:sz w:val="32"/>
        </w:rPr>
        <w:br w:type="page"/>
      </w:r>
      <w:r>
        <w:rPr>
          <w:rFonts w:hint="eastAsia" w:ascii="黑体" w:hAnsi="宋体" w:eastAsia="黑体"/>
          <w:sz w:val="32"/>
        </w:rPr>
        <w:t>招标文件第二部分</w:t>
      </w:r>
      <w:bookmarkEnd w:id="15"/>
    </w:p>
    <w:p>
      <w:pPr>
        <w:pStyle w:val="4"/>
        <w:spacing w:line="500" w:lineRule="exact"/>
        <w:rPr>
          <w:rFonts w:hint="eastAsia" w:ascii="宋体" w:hAnsi="宋体" w:eastAsia="宋体"/>
        </w:rPr>
      </w:pPr>
      <w:bookmarkStart w:id="16" w:name="_Toc504073351"/>
      <w:r>
        <w:rPr>
          <w:rFonts w:hint="eastAsia" w:ascii="宋体" w:hAnsi="宋体" w:eastAsia="宋体"/>
        </w:rPr>
        <w:t>第五章 投标人须知</w:t>
      </w:r>
      <w:bookmarkEnd w:id="16"/>
    </w:p>
    <w:p>
      <w:pPr>
        <w:pStyle w:val="5"/>
        <w:spacing w:line="500" w:lineRule="exact"/>
        <w:rPr>
          <w:rFonts w:hint="eastAsia" w:hAnsi="宋体"/>
          <w:sz w:val="28"/>
        </w:rPr>
      </w:pPr>
      <w:bookmarkStart w:id="17" w:name="_Hlt509649998"/>
      <w:bookmarkEnd w:id="17"/>
      <w:bookmarkStart w:id="18" w:name="_Hlt509650686"/>
      <w:bookmarkEnd w:id="18"/>
      <w:bookmarkStart w:id="19" w:name="_Hlt509650126"/>
      <w:bookmarkEnd w:id="19"/>
      <w:bookmarkStart w:id="20" w:name="_Hlt509650955"/>
      <w:bookmarkEnd w:id="20"/>
      <w:bookmarkStart w:id="21" w:name="_Hlt509649722"/>
      <w:bookmarkEnd w:id="21"/>
      <w:bookmarkStart w:id="22" w:name="_Hlt526418143"/>
      <w:bookmarkEnd w:id="22"/>
      <w:bookmarkStart w:id="23" w:name="_Toc504073352"/>
      <w:r>
        <w:rPr>
          <w:rFonts w:hint="eastAsia" w:hAnsi="宋体"/>
          <w:sz w:val="28"/>
        </w:rPr>
        <w:t>一．总    则</w:t>
      </w:r>
      <w:bookmarkEnd w:id="23"/>
    </w:p>
    <w:p>
      <w:pPr>
        <w:spacing w:line="360" w:lineRule="auto"/>
        <w:ind w:firstLine="550"/>
        <w:rPr>
          <w:rFonts w:hint="eastAsia" w:ascii="宋体" w:hAnsi="宋体"/>
          <w:b/>
          <w:sz w:val="24"/>
        </w:rPr>
      </w:pPr>
      <w:r>
        <w:rPr>
          <w:rFonts w:ascii="宋体" w:hAnsi="宋体"/>
          <w:b/>
          <w:sz w:val="24"/>
        </w:rPr>
        <w:t>1</w:t>
      </w:r>
      <w:r>
        <w:rPr>
          <w:rFonts w:hint="eastAsia" w:ascii="宋体" w:hAnsi="宋体"/>
          <w:b/>
          <w:sz w:val="24"/>
        </w:rPr>
        <w:t>.适用范围</w:t>
      </w:r>
    </w:p>
    <w:p>
      <w:pPr>
        <w:spacing w:line="360" w:lineRule="auto"/>
        <w:ind w:firstLine="550"/>
        <w:rPr>
          <w:rFonts w:hint="eastAsia" w:ascii="宋体" w:hAnsi="宋体"/>
          <w:sz w:val="24"/>
        </w:rPr>
      </w:pPr>
      <w:r>
        <w:rPr>
          <w:rFonts w:ascii="宋体" w:hAnsi="宋体"/>
          <w:sz w:val="24"/>
        </w:rPr>
        <w:t>1.</w:t>
      </w:r>
      <w:r>
        <w:rPr>
          <w:rFonts w:hint="eastAsia" w:ascii="宋体" w:hAnsi="宋体"/>
          <w:sz w:val="24"/>
        </w:rPr>
        <w:t>1本招标文件仅适用于本次公开招标所述的服务项目招标。</w:t>
      </w:r>
    </w:p>
    <w:p>
      <w:pPr>
        <w:spacing w:line="360" w:lineRule="auto"/>
        <w:ind w:firstLine="550"/>
        <w:rPr>
          <w:rFonts w:hint="eastAsia" w:ascii="宋体" w:hAnsi="宋体"/>
          <w:b/>
          <w:sz w:val="24"/>
        </w:rPr>
      </w:pPr>
      <w:r>
        <w:rPr>
          <w:rFonts w:hint="eastAsia" w:ascii="宋体" w:hAnsi="宋体"/>
          <w:b/>
          <w:sz w:val="24"/>
        </w:rPr>
        <w:t>2.有关定义</w:t>
      </w:r>
    </w:p>
    <w:p>
      <w:pPr>
        <w:spacing w:line="360" w:lineRule="auto"/>
        <w:ind w:firstLine="550"/>
        <w:rPr>
          <w:rFonts w:hint="eastAsia" w:ascii="宋体" w:hAnsi="宋体"/>
          <w:sz w:val="24"/>
        </w:rPr>
      </w:pPr>
      <w:r>
        <w:rPr>
          <w:rFonts w:hint="eastAsia" w:ascii="宋体" w:hAnsi="宋体"/>
          <w:sz w:val="24"/>
        </w:rPr>
        <w:t>2.1监督管理部门：系指桐城市房地产管理部门。</w:t>
      </w:r>
    </w:p>
    <w:p>
      <w:pPr>
        <w:spacing w:line="360" w:lineRule="auto"/>
        <w:ind w:firstLine="550"/>
        <w:rPr>
          <w:rFonts w:hint="eastAsia" w:ascii="宋体" w:hAnsi="宋体"/>
          <w:sz w:val="24"/>
        </w:rPr>
      </w:pPr>
      <w:r>
        <w:rPr>
          <w:rFonts w:hint="eastAsia" w:ascii="宋体" w:hAnsi="宋体"/>
          <w:sz w:val="24"/>
        </w:rPr>
        <w:t>2.2招标人：系指本次招标项目的业主方。</w:t>
      </w:r>
    </w:p>
    <w:p>
      <w:pPr>
        <w:spacing w:line="360" w:lineRule="auto"/>
        <w:ind w:firstLine="550"/>
        <w:rPr>
          <w:rFonts w:hint="eastAsia" w:ascii="宋体" w:hAnsi="宋体"/>
          <w:sz w:val="24"/>
        </w:rPr>
      </w:pPr>
      <w:r>
        <w:rPr>
          <w:rFonts w:hint="eastAsia" w:ascii="宋体" w:hAnsi="宋体"/>
          <w:sz w:val="24"/>
        </w:rPr>
        <w:t>2.3投标人：系指购买了本招标文件，且已经提交或准备提交本次投标文件的服务商。</w:t>
      </w:r>
    </w:p>
    <w:p>
      <w:pPr>
        <w:spacing w:line="360" w:lineRule="auto"/>
        <w:ind w:firstLine="550"/>
        <w:rPr>
          <w:rFonts w:hint="eastAsia" w:ascii="宋体" w:hAnsi="宋体"/>
          <w:sz w:val="24"/>
        </w:rPr>
      </w:pPr>
      <w:r>
        <w:rPr>
          <w:rFonts w:hint="eastAsia" w:ascii="宋体" w:hAnsi="宋体"/>
          <w:sz w:val="24"/>
        </w:rPr>
        <w:t>2.4服务：系指除货物和工程以外的其他招标对象，包括咨询、调研、评估、规划、设计、监理、审计、保险、租赁、印刷、维修、物业管理等。</w:t>
      </w:r>
    </w:p>
    <w:p>
      <w:pPr>
        <w:spacing w:line="360" w:lineRule="auto"/>
        <w:ind w:firstLine="550"/>
        <w:rPr>
          <w:rFonts w:hint="eastAsia" w:ascii="宋体" w:hAnsi="宋体"/>
          <w:sz w:val="24"/>
        </w:rPr>
      </w:pPr>
      <w:r>
        <w:rPr>
          <w:rFonts w:hint="eastAsia" w:ascii="宋体" w:hAnsi="宋体"/>
          <w:sz w:val="24"/>
        </w:rPr>
        <w:t>2.5近X年内：系指从开标之日向前追溯X年（“X”为“一”及以后整数）起算。除非本招标文件另有规定，否则均以合同签订之日为追溯结点。</w:t>
      </w:r>
    </w:p>
    <w:p>
      <w:pPr>
        <w:spacing w:line="360" w:lineRule="auto"/>
        <w:ind w:firstLine="550"/>
        <w:rPr>
          <w:rFonts w:hint="eastAsia" w:ascii="宋体" w:hAnsi="宋体"/>
          <w:sz w:val="24"/>
        </w:rPr>
      </w:pPr>
      <w:r>
        <w:rPr>
          <w:rFonts w:hint="eastAsia" w:ascii="宋体" w:hAnsi="宋体"/>
          <w:sz w:val="24"/>
        </w:rPr>
        <w:t>2.8业绩：系指符合本招标文件规定的与最终用户(“最终用户”系指合同项目的建设方或由建设方确定的承包方)签订的合同及相关证明。投标人与其关联公司（如母公司、控股公司、参股公司、分公司、子公司、同一法定代表人的公司等）之间签订的合同，均不予认可。</w:t>
      </w:r>
    </w:p>
    <w:p>
      <w:pPr>
        <w:spacing w:line="360" w:lineRule="auto"/>
        <w:ind w:firstLine="550"/>
        <w:rPr>
          <w:rFonts w:hint="eastAsia" w:ascii="宋体" w:hAnsi="宋体"/>
          <w:b/>
          <w:sz w:val="24"/>
        </w:rPr>
      </w:pPr>
      <w:r>
        <w:rPr>
          <w:rFonts w:hint="eastAsia" w:ascii="宋体" w:hAnsi="宋体"/>
          <w:b/>
          <w:sz w:val="24"/>
        </w:rPr>
        <w:t>3.投标费用</w:t>
      </w:r>
    </w:p>
    <w:p>
      <w:pPr>
        <w:spacing w:line="360" w:lineRule="auto"/>
        <w:ind w:firstLine="550"/>
        <w:rPr>
          <w:rFonts w:hint="eastAsia" w:ascii="宋体" w:hAnsi="宋体"/>
          <w:sz w:val="24"/>
        </w:rPr>
      </w:pPr>
      <w:r>
        <w:rPr>
          <w:rFonts w:hint="eastAsia" w:ascii="宋体" w:hAnsi="宋体"/>
          <w:sz w:val="24"/>
        </w:rPr>
        <w:t>3.1无论投标结果如何，投标人应自行承担其编制与递交投标文件所涉及的一切费用。</w:t>
      </w:r>
    </w:p>
    <w:p>
      <w:pPr>
        <w:spacing w:line="360" w:lineRule="auto"/>
        <w:ind w:firstLine="550"/>
        <w:rPr>
          <w:rFonts w:hint="eastAsia" w:ascii="宋体" w:hAnsi="宋体"/>
          <w:b/>
          <w:bCs/>
          <w:sz w:val="24"/>
        </w:rPr>
      </w:pPr>
      <w:r>
        <w:rPr>
          <w:rFonts w:hint="eastAsia" w:ascii="宋体" w:hAnsi="宋体"/>
          <w:b/>
          <w:bCs/>
          <w:sz w:val="24"/>
        </w:rPr>
        <w:t>4.合格的投标人</w:t>
      </w:r>
    </w:p>
    <w:p>
      <w:pPr>
        <w:spacing w:line="360" w:lineRule="auto"/>
        <w:ind w:firstLine="523" w:firstLineChars="218"/>
        <w:rPr>
          <w:rFonts w:hint="eastAsia" w:ascii="宋体" w:hAnsi="宋体"/>
          <w:sz w:val="24"/>
        </w:rPr>
      </w:pPr>
      <w:r>
        <w:rPr>
          <w:rFonts w:hint="eastAsia" w:ascii="宋体" w:hAnsi="宋体"/>
          <w:sz w:val="24"/>
        </w:rPr>
        <w:t>4.1合格的投标人应符合招标文件载明的投标资格。</w:t>
      </w:r>
    </w:p>
    <w:p>
      <w:pPr>
        <w:spacing w:line="360" w:lineRule="auto"/>
        <w:ind w:firstLine="523" w:firstLineChars="218"/>
        <w:rPr>
          <w:rFonts w:hint="eastAsia" w:ascii="宋体" w:hAnsi="宋体"/>
          <w:sz w:val="24"/>
        </w:rPr>
      </w:pPr>
      <w:r>
        <w:rPr>
          <w:rFonts w:hint="eastAsia" w:ascii="宋体" w:hAnsi="宋体"/>
          <w:sz w:val="24"/>
        </w:rPr>
        <w:t>4.1.1除非招标文件认可，否则母、子公司之间的业绩、资质不得互用。</w:t>
      </w:r>
    </w:p>
    <w:p>
      <w:pPr>
        <w:spacing w:line="360" w:lineRule="auto"/>
        <w:ind w:firstLine="523" w:firstLineChars="218"/>
        <w:rPr>
          <w:rFonts w:hint="eastAsia" w:ascii="宋体" w:hAnsi="宋体"/>
          <w:sz w:val="24"/>
        </w:rPr>
      </w:pPr>
      <w:r>
        <w:rPr>
          <w:rFonts w:hint="eastAsia" w:ascii="宋体" w:hAnsi="宋体"/>
          <w:sz w:val="24"/>
        </w:rPr>
        <w:t>4.2投标人之间如果存在下列情形之一的，不得同时参加同一标段（包别）或者不分标段（包别）的同一项目投标：</w:t>
      </w:r>
    </w:p>
    <w:p>
      <w:pPr>
        <w:spacing w:line="360" w:lineRule="auto"/>
        <w:ind w:left="420" w:leftChars="200" w:firstLine="88" w:firstLineChars="37"/>
        <w:rPr>
          <w:rFonts w:hint="eastAsia" w:ascii="宋体" w:hAnsi="宋体"/>
          <w:sz w:val="24"/>
        </w:rPr>
      </w:pPr>
      <w:r>
        <w:rPr>
          <w:rFonts w:hint="eastAsia" w:ascii="宋体" w:hAnsi="宋体"/>
          <w:sz w:val="24"/>
        </w:rPr>
        <w:t>4.2.1法定代表人为同一个人的两个及两个以上法人；</w:t>
      </w:r>
    </w:p>
    <w:p>
      <w:pPr>
        <w:spacing w:line="360" w:lineRule="auto"/>
        <w:ind w:left="420" w:leftChars="200" w:firstLine="88" w:firstLineChars="37"/>
        <w:rPr>
          <w:rFonts w:hint="eastAsia" w:ascii="宋体" w:hAnsi="宋体"/>
          <w:sz w:val="24"/>
        </w:rPr>
      </w:pPr>
      <w:r>
        <w:rPr>
          <w:rFonts w:hint="eastAsia" w:ascii="宋体" w:hAnsi="宋体"/>
          <w:sz w:val="24"/>
        </w:rPr>
        <w:t>4.2.2母公司、全资子公司及其控股公司；</w:t>
      </w:r>
    </w:p>
    <w:p>
      <w:pPr>
        <w:pStyle w:val="16"/>
        <w:spacing w:line="360" w:lineRule="auto"/>
        <w:ind w:firstLine="480" w:firstLineChars="200"/>
        <w:rPr>
          <w:rFonts w:hint="eastAsia" w:ascii="宋体" w:hAnsi="宋体"/>
          <w:sz w:val="24"/>
        </w:rPr>
      </w:pPr>
      <w:r>
        <w:rPr>
          <w:rFonts w:hint="eastAsia" w:ascii="宋体" w:hAnsi="宋体"/>
          <w:sz w:val="24"/>
        </w:rPr>
        <w:t>4.2.3参加投标的其他组织之间存在特殊的利害关系的；</w:t>
      </w:r>
    </w:p>
    <w:p>
      <w:pPr>
        <w:spacing w:line="360" w:lineRule="auto"/>
        <w:ind w:left="420" w:leftChars="200" w:firstLine="88" w:firstLineChars="37"/>
        <w:rPr>
          <w:rFonts w:hint="eastAsia" w:ascii="宋体" w:hAnsi="宋体"/>
          <w:sz w:val="24"/>
        </w:rPr>
      </w:pPr>
      <w:r>
        <w:rPr>
          <w:rFonts w:hint="eastAsia" w:ascii="宋体" w:hAnsi="宋体"/>
          <w:sz w:val="24"/>
        </w:rPr>
        <w:t>4.2.4法律和行政法规规定的其他情形。</w:t>
      </w:r>
    </w:p>
    <w:p>
      <w:pPr>
        <w:spacing w:line="360" w:lineRule="auto"/>
        <w:ind w:firstLine="550"/>
        <w:rPr>
          <w:rFonts w:hint="eastAsia" w:ascii="宋体" w:hAnsi="宋体"/>
          <w:b/>
          <w:sz w:val="24"/>
        </w:rPr>
      </w:pPr>
      <w:r>
        <w:rPr>
          <w:rFonts w:hint="eastAsia" w:ascii="宋体" w:hAnsi="宋体"/>
          <w:b/>
          <w:sz w:val="24"/>
        </w:rPr>
        <w:t>5.勘察现场</w:t>
      </w:r>
    </w:p>
    <w:p>
      <w:pPr>
        <w:spacing w:line="360" w:lineRule="auto"/>
        <w:ind w:firstLine="550"/>
        <w:rPr>
          <w:rFonts w:hint="eastAsia" w:ascii="宋体" w:hAnsi="宋体"/>
          <w:sz w:val="24"/>
        </w:rPr>
      </w:pPr>
      <w:r>
        <w:rPr>
          <w:rFonts w:hint="eastAsia" w:ascii="宋体" w:hAnsi="宋体"/>
          <w:sz w:val="24"/>
        </w:rPr>
        <w:t>5.1投标人应自行对服务现场和周围环境进行勘察，以获取编制投标文件和签署合同所需的资料。勘察现场的方式、地址及联系方式见投标人须知前附表。</w:t>
      </w:r>
    </w:p>
    <w:p>
      <w:pPr>
        <w:spacing w:line="360" w:lineRule="auto"/>
        <w:ind w:firstLine="550"/>
        <w:rPr>
          <w:rFonts w:hint="eastAsia" w:ascii="宋体" w:hAnsi="宋体"/>
          <w:sz w:val="24"/>
        </w:rPr>
      </w:pPr>
      <w:r>
        <w:rPr>
          <w:rFonts w:hint="eastAsia" w:ascii="宋体" w:hAnsi="宋体"/>
          <w:sz w:val="24"/>
        </w:rPr>
        <w:t>5.2勘察现场所发生的费用由投标人自行承担。招标人向投标人提供的有关服务现场的资料和数据，是招标人现有的能使投标人利用的资料。招标人对投标人由此而做出的推论、理解和结论概不负责。投标人未到服务现场实地踏勘的，中标后签订合同时和履约过程中，不得以不完全了解现场情况为由，提出任何形式的增加合同价款或索赔的要求。</w:t>
      </w:r>
    </w:p>
    <w:p>
      <w:pPr>
        <w:spacing w:line="360" w:lineRule="auto"/>
        <w:ind w:firstLine="550"/>
        <w:rPr>
          <w:rFonts w:hint="eastAsia" w:ascii="宋体" w:hAnsi="宋体"/>
          <w:sz w:val="24"/>
        </w:rPr>
      </w:pPr>
      <w:r>
        <w:rPr>
          <w:rFonts w:hint="eastAsia" w:ascii="宋体" w:hAnsi="宋体"/>
          <w:sz w:val="24"/>
        </w:rPr>
        <w:t>5.3除非有特殊要求，招标文件不单独提供服务地点的自然环境、气候条件、公用设施等情况，投标人被视为熟悉上述与履行合同有关的一切情况。</w:t>
      </w:r>
    </w:p>
    <w:p>
      <w:pPr>
        <w:spacing w:line="360" w:lineRule="auto"/>
        <w:ind w:firstLine="550"/>
        <w:rPr>
          <w:rFonts w:hint="eastAsia" w:ascii="宋体" w:hAnsi="宋体"/>
          <w:bCs/>
          <w:sz w:val="24"/>
        </w:rPr>
      </w:pPr>
      <w:r>
        <w:rPr>
          <w:rFonts w:hint="eastAsia" w:ascii="宋体" w:hAnsi="宋体"/>
          <w:b/>
          <w:sz w:val="24"/>
        </w:rPr>
        <w:t>6.知识产权</w:t>
      </w:r>
    </w:p>
    <w:p>
      <w:pPr>
        <w:spacing w:line="360" w:lineRule="auto"/>
        <w:ind w:firstLine="549"/>
        <w:rPr>
          <w:rFonts w:hint="eastAsia" w:ascii="宋体" w:hAnsi="宋体"/>
          <w:bCs/>
          <w:sz w:val="24"/>
        </w:rPr>
      </w:pPr>
      <w:r>
        <w:rPr>
          <w:rFonts w:hint="eastAsia" w:ascii="宋体" w:hAnsi="宋体"/>
          <w:sz w:val="24"/>
        </w:rPr>
        <w:t>6.1</w:t>
      </w:r>
      <w:r>
        <w:rPr>
          <w:rFonts w:hint="eastAsia" w:ascii="宋体" w:hAnsi="宋体"/>
          <w:bCs/>
          <w:sz w:val="24"/>
        </w:rPr>
        <w:t>投标人须保证，招标人在中华人民共和国境内使用投标货物、资料、技术、服务或其任何一部分时，享有不受限制的无偿使用权，不会产生因第三方提出侵犯其专利权、商标权或其它知识产权而引起的法律或经济纠纷。如投标人不拥有相应的知识产权，则在投标报价中必须包括合法获取该知识产权的一切相关费用。</w:t>
      </w:r>
      <w:r>
        <w:rPr>
          <w:rFonts w:hint="eastAsia" w:ascii="宋体" w:hAnsi="宋体"/>
          <w:sz w:val="24"/>
        </w:rPr>
        <w:t>如因此导致招标人损失的，投标人须承担全部赔偿责任。</w:t>
      </w:r>
    </w:p>
    <w:p>
      <w:pPr>
        <w:spacing w:line="360" w:lineRule="auto"/>
        <w:ind w:firstLine="549"/>
        <w:rPr>
          <w:rFonts w:hint="eastAsia" w:ascii="宋体" w:hAnsi="宋体"/>
          <w:bCs/>
          <w:sz w:val="24"/>
        </w:rPr>
      </w:pPr>
      <w:r>
        <w:rPr>
          <w:rFonts w:hint="eastAsia" w:ascii="宋体" w:hAnsi="宋体"/>
          <w:bCs/>
          <w:sz w:val="24"/>
        </w:rPr>
        <w:t>6.2投标人如欲在项目实施过程中采用自有知识成果，须在投标文件中声明，并提供相关知识产权证明文件。使用该知识成果后，投标人须提供开发接口和开发手册等技术文档。</w:t>
      </w:r>
    </w:p>
    <w:p>
      <w:pPr>
        <w:spacing w:line="360" w:lineRule="auto"/>
        <w:ind w:firstLine="549"/>
        <w:rPr>
          <w:rFonts w:hint="eastAsia" w:ascii="宋体" w:hAnsi="宋体"/>
          <w:b/>
          <w:sz w:val="24"/>
        </w:rPr>
      </w:pPr>
      <w:r>
        <w:rPr>
          <w:rFonts w:hint="eastAsia" w:ascii="宋体" w:hAnsi="宋体"/>
          <w:b/>
          <w:sz w:val="24"/>
        </w:rPr>
        <w:t>7.纪律与保密</w:t>
      </w:r>
    </w:p>
    <w:p>
      <w:pPr>
        <w:spacing w:line="360" w:lineRule="auto"/>
        <w:ind w:firstLine="549"/>
        <w:rPr>
          <w:rFonts w:hint="eastAsia" w:ascii="宋体" w:hAnsi="宋体"/>
          <w:sz w:val="24"/>
        </w:rPr>
      </w:pPr>
      <w:r>
        <w:rPr>
          <w:rFonts w:hint="eastAsia" w:ascii="宋体" w:hAnsi="宋体"/>
          <w:sz w:val="24"/>
        </w:rPr>
        <w:t>7.1投标人的投标行为应遵守中国的有关法律、法规和规章。</w:t>
      </w:r>
    </w:p>
    <w:p>
      <w:pPr>
        <w:spacing w:line="360" w:lineRule="auto"/>
        <w:ind w:firstLine="549"/>
        <w:rPr>
          <w:rFonts w:hint="eastAsia" w:ascii="宋体" w:hAnsi="宋体"/>
          <w:sz w:val="24"/>
        </w:rPr>
      </w:pPr>
      <w:r>
        <w:rPr>
          <w:rFonts w:hint="eastAsia" w:ascii="宋体" w:hAnsi="宋体"/>
          <w:sz w:val="24"/>
        </w:rPr>
        <w:t>7.2投标人不得相互串通投标报价，不得妨碍其他投标人的公平竞争，不得损害招标人或其他投标人的合法权益，投标人不得以向招标人、评委会成员行贿或者采取其他不正当手段谋取中标。</w:t>
      </w:r>
    </w:p>
    <w:p>
      <w:pPr>
        <w:spacing w:line="360" w:lineRule="auto"/>
        <w:ind w:firstLine="549"/>
        <w:rPr>
          <w:rFonts w:hint="eastAsia" w:ascii="宋体" w:hAnsi="宋体"/>
          <w:sz w:val="24"/>
        </w:rPr>
      </w:pPr>
      <w:r>
        <w:rPr>
          <w:rFonts w:hint="eastAsia" w:ascii="宋体" w:hAnsi="宋体"/>
          <w:sz w:val="24"/>
        </w:rPr>
        <w:t>7.2.1有下列情形之一的，属于投标人相互串通投标：</w:t>
      </w:r>
    </w:p>
    <w:p>
      <w:pPr>
        <w:spacing w:line="360" w:lineRule="auto"/>
        <w:ind w:firstLine="549"/>
        <w:rPr>
          <w:rFonts w:hint="eastAsia" w:ascii="宋体" w:hAnsi="宋体"/>
          <w:sz w:val="24"/>
        </w:rPr>
      </w:pPr>
      <w:r>
        <w:rPr>
          <w:rFonts w:hint="eastAsia" w:ascii="宋体" w:hAnsi="宋体"/>
          <w:sz w:val="24"/>
        </w:rPr>
        <w:t>7.2.1.1投标人之间协商投标报价等投标文件的实质性内容；</w:t>
      </w:r>
    </w:p>
    <w:p>
      <w:pPr>
        <w:spacing w:line="360" w:lineRule="auto"/>
        <w:ind w:firstLine="549"/>
        <w:rPr>
          <w:rFonts w:hint="eastAsia" w:ascii="宋体" w:hAnsi="宋体"/>
          <w:sz w:val="24"/>
        </w:rPr>
      </w:pPr>
      <w:r>
        <w:rPr>
          <w:rFonts w:hint="eastAsia" w:ascii="宋体" w:hAnsi="宋体"/>
          <w:sz w:val="24"/>
        </w:rPr>
        <w:t>7.2.1.2投标人之间约定中标人；</w:t>
      </w:r>
    </w:p>
    <w:p>
      <w:pPr>
        <w:spacing w:line="360" w:lineRule="auto"/>
        <w:ind w:firstLine="549"/>
        <w:rPr>
          <w:rFonts w:hint="eastAsia" w:ascii="宋体" w:hAnsi="宋体"/>
          <w:sz w:val="24"/>
        </w:rPr>
      </w:pPr>
      <w:r>
        <w:rPr>
          <w:rFonts w:hint="eastAsia" w:ascii="宋体" w:hAnsi="宋体"/>
          <w:sz w:val="24"/>
        </w:rPr>
        <w:t>7.2.1.3投标人之间约定部分投标人放弃投标或者中标；</w:t>
      </w:r>
    </w:p>
    <w:p>
      <w:pPr>
        <w:spacing w:line="360" w:lineRule="auto"/>
        <w:ind w:firstLine="549"/>
        <w:rPr>
          <w:rFonts w:hint="eastAsia" w:ascii="宋体" w:hAnsi="宋体"/>
          <w:sz w:val="24"/>
        </w:rPr>
      </w:pPr>
      <w:r>
        <w:rPr>
          <w:rFonts w:hint="eastAsia" w:ascii="宋体" w:hAnsi="宋体"/>
          <w:sz w:val="24"/>
        </w:rPr>
        <w:t>7.2.1.4属于同一集团、协会、商会等组织成员的投标人按照该组织要求协同投标；</w:t>
      </w:r>
    </w:p>
    <w:p>
      <w:pPr>
        <w:spacing w:line="360" w:lineRule="auto"/>
        <w:ind w:firstLine="549"/>
        <w:rPr>
          <w:rFonts w:hint="eastAsia" w:ascii="宋体" w:hAnsi="宋体"/>
          <w:sz w:val="24"/>
        </w:rPr>
      </w:pPr>
      <w:r>
        <w:rPr>
          <w:rFonts w:hint="eastAsia" w:ascii="宋体" w:hAnsi="宋体"/>
          <w:sz w:val="24"/>
        </w:rPr>
        <w:t>7.2.1.5投标人之间为谋取中标或者排斥特定投标人而采取的其他联合行动。</w:t>
      </w:r>
    </w:p>
    <w:p>
      <w:pPr>
        <w:spacing w:line="360" w:lineRule="auto"/>
        <w:ind w:firstLine="549"/>
        <w:rPr>
          <w:rFonts w:hint="eastAsia" w:ascii="宋体" w:hAnsi="宋体"/>
          <w:sz w:val="24"/>
        </w:rPr>
      </w:pPr>
      <w:r>
        <w:rPr>
          <w:rFonts w:hint="eastAsia" w:ascii="宋体" w:hAnsi="宋体"/>
          <w:sz w:val="24"/>
        </w:rPr>
        <w:t>7.2.2 有下列情形之一的，视为投标人相互串通投标：</w:t>
      </w:r>
    </w:p>
    <w:p>
      <w:pPr>
        <w:spacing w:line="360" w:lineRule="auto"/>
        <w:ind w:firstLine="549"/>
        <w:rPr>
          <w:rFonts w:hint="eastAsia" w:ascii="宋体" w:hAnsi="宋体"/>
          <w:sz w:val="24"/>
        </w:rPr>
      </w:pPr>
      <w:r>
        <w:rPr>
          <w:rFonts w:hint="eastAsia" w:ascii="宋体" w:hAnsi="宋体"/>
          <w:sz w:val="24"/>
        </w:rPr>
        <w:t>7.2.2.1不同投标人的投标文件由同一单位或者个人编制；</w:t>
      </w:r>
    </w:p>
    <w:p>
      <w:pPr>
        <w:spacing w:line="360" w:lineRule="auto"/>
        <w:ind w:firstLine="549"/>
        <w:rPr>
          <w:rFonts w:hint="eastAsia" w:ascii="宋体" w:hAnsi="宋体"/>
          <w:sz w:val="24"/>
        </w:rPr>
      </w:pPr>
      <w:r>
        <w:rPr>
          <w:rFonts w:hint="eastAsia" w:ascii="宋体" w:hAnsi="宋体"/>
          <w:sz w:val="24"/>
        </w:rPr>
        <w:t>7.2.2.2不同投标人委托同一单位或者个人办理投标事宜；</w:t>
      </w:r>
    </w:p>
    <w:p>
      <w:pPr>
        <w:spacing w:line="360" w:lineRule="auto"/>
        <w:ind w:firstLine="549"/>
        <w:rPr>
          <w:rFonts w:hint="eastAsia" w:ascii="宋体" w:hAnsi="宋体"/>
          <w:sz w:val="24"/>
        </w:rPr>
      </w:pPr>
      <w:r>
        <w:rPr>
          <w:rFonts w:hint="eastAsia" w:ascii="宋体" w:hAnsi="宋体"/>
          <w:sz w:val="24"/>
        </w:rPr>
        <w:t>7.2.2.3不同投标人的投标文件载明的项目管理成员为同一人；</w:t>
      </w:r>
    </w:p>
    <w:p>
      <w:pPr>
        <w:spacing w:line="360" w:lineRule="auto"/>
        <w:ind w:firstLine="549"/>
        <w:rPr>
          <w:rFonts w:hint="eastAsia" w:ascii="宋体" w:hAnsi="宋体"/>
          <w:sz w:val="24"/>
        </w:rPr>
      </w:pPr>
      <w:r>
        <w:rPr>
          <w:rFonts w:hint="eastAsia" w:ascii="宋体" w:hAnsi="宋体"/>
          <w:sz w:val="24"/>
        </w:rPr>
        <w:t>7.2.2.4不同投标人的投标文件异常一致或者投标报价呈规律性差异；</w:t>
      </w:r>
    </w:p>
    <w:p>
      <w:pPr>
        <w:spacing w:line="360" w:lineRule="auto"/>
        <w:ind w:firstLine="549"/>
        <w:rPr>
          <w:rFonts w:hint="eastAsia" w:ascii="宋体" w:hAnsi="宋体"/>
          <w:sz w:val="24"/>
        </w:rPr>
      </w:pPr>
      <w:r>
        <w:rPr>
          <w:rFonts w:hint="eastAsia" w:ascii="宋体" w:hAnsi="宋体"/>
          <w:sz w:val="24"/>
        </w:rPr>
        <w:t>7.2.2.5不同投标人的投标文件相互混装；</w:t>
      </w:r>
    </w:p>
    <w:p>
      <w:pPr>
        <w:spacing w:line="360" w:lineRule="auto"/>
        <w:ind w:firstLine="549"/>
        <w:rPr>
          <w:rFonts w:hint="eastAsia" w:ascii="宋体" w:hAnsi="宋体"/>
          <w:sz w:val="24"/>
        </w:rPr>
      </w:pPr>
      <w:r>
        <w:rPr>
          <w:rFonts w:hint="eastAsia" w:ascii="宋体" w:hAnsi="宋体"/>
          <w:sz w:val="24"/>
        </w:rPr>
        <w:t>7.2.2.6不同投标人的投标保证金从同一单位或者个人的账户转出。</w:t>
      </w:r>
    </w:p>
    <w:p>
      <w:pPr>
        <w:spacing w:line="360" w:lineRule="auto"/>
        <w:ind w:firstLine="549"/>
        <w:rPr>
          <w:rFonts w:hint="eastAsia" w:ascii="宋体" w:hAnsi="宋体"/>
          <w:sz w:val="24"/>
        </w:rPr>
      </w:pPr>
      <w:r>
        <w:rPr>
          <w:rFonts w:hint="eastAsia" w:ascii="宋体" w:hAnsi="宋体"/>
          <w:sz w:val="24"/>
        </w:rPr>
        <w:t>7.3在确定中标人之前，投标人不得与招标人就投标价格、投标方案等实质性内容进行谈判，也不得私下接触评委会成员。</w:t>
      </w:r>
    </w:p>
    <w:p>
      <w:pPr>
        <w:spacing w:line="360" w:lineRule="auto"/>
        <w:ind w:firstLine="549"/>
        <w:rPr>
          <w:rFonts w:hint="eastAsia" w:ascii="宋体" w:hAnsi="宋体"/>
          <w:sz w:val="24"/>
        </w:rPr>
      </w:pPr>
      <w:r>
        <w:rPr>
          <w:rFonts w:hint="eastAsia" w:ascii="宋体" w:hAnsi="宋体"/>
          <w:sz w:val="24"/>
        </w:rPr>
        <w:t>7.4在确定中标人之前，投标人试图在投标文件审查、澄清、比较和评价时对评委会、招标人和利信公司施加任何影响都可能导致其投标无效。</w:t>
      </w:r>
    </w:p>
    <w:p>
      <w:pPr>
        <w:spacing w:line="360" w:lineRule="auto"/>
        <w:ind w:firstLine="549"/>
        <w:rPr>
          <w:rFonts w:hint="eastAsia" w:ascii="宋体" w:hAnsi="宋体"/>
          <w:b/>
          <w:bCs/>
          <w:sz w:val="24"/>
        </w:rPr>
      </w:pPr>
      <w:r>
        <w:rPr>
          <w:rFonts w:hint="eastAsia" w:ascii="宋体" w:hAnsi="宋体"/>
          <w:sz w:val="24"/>
        </w:rPr>
        <w:t>7.5由招标人向投标人提供的图纸、详细资料、样品、模型、模件和所有其它资料，被视为保密资料，仅被用于它所规定的用途。除非得到招标人的同意，不能向任何第三方透露。开标结束后，应招标人要求，投标人应归还所有从招标人处获得的保密资料。</w:t>
      </w:r>
    </w:p>
    <w:p>
      <w:pPr>
        <w:spacing w:line="360" w:lineRule="auto"/>
        <w:ind w:firstLine="549"/>
        <w:rPr>
          <w:rFonts w:hint="eastAsia" w:ascii="宋体" w:hAnsi="宋体"/>
          <w:b/>
          <w:sz w:val="24"/>
        </w:rPr>
      </w:pPr>
      <w:r>
        <w:rPr>
          <w:rFonts w:hint="eastAsia" w:ascii="宋体" w:hAnsi="宋体"/>
          <w:b/>
          <w:sz w:val="24"/>
        </w:rPr>
        <w:t>8.联合体投标（本项目不接受）</w:t>
      </w:r>
    </w:p>
    <w:p>
      <w:pPr>
        <w:spacing w:line="360" w:lineRule="auto"/>
        <w:ind w:firstLine="549"/>
        <w:rPr>
          <w:rFonts w:hint="eastAsia" w:ascii="宋体" w:hAnsi="宋体"/>
          <w:sz w:val="24"/>
        </w:rPr>
      </w:pPr>
      <w:r>
        <w:rPr>
          <w:rFonts w:hint="eastAsia" w:ascii="宋体" w:hAnsi="宋体"/>
          <w:sz w:val="24"/>
        </w:rPr>
        <w:t>8.1除非本项目明确要求不接受联合体形式投标外，</w:t>
      </w:r>
      <w:r>
        <w:rPr>
          <w:rFonts w:ascii="宋体" w:hAnsi="宋体"/>
          <w:sz w:val="24"/>
        </w:rPr>
        <w:t>两个以上法人或者其他组织可以组成一个联合体，以一个投标人的身份共同投标。</w:t>
      </w:r>
    </w:p>
    <w:p>
      <w:pPr>
        <w:spacing w:line="360" w:lineRule="auto"/>
        <w:ind w:firstLine="549"/>
        <w:rPr>
          <w:rFonts w:hint="eastAsia" w:ascii="宋体" w:hAnsi="宋体"/>
          <w:sz w:val="24"/>
        </w:rPr>
      </w:pPr>
      <w:r>
        <w:rPr>
          <w:rFonts w:hint="eastAsia" w:ascii="宋体" w:hAnsi="宋体"/>
          <w:sz w:val="24"/>
        </w:rPr>
        <w:t>8.2以联合体形式参加投标的，</w:t>
      </w:r>
      <w:r>
        <w:rPr>
          <w:rFonts w:ascii="宋体" w:hAnsi="宋体"/>
          <w:sz w:val="24"/>
        </w:rPr>
        <w:t>联合体各方均应当具备承担招标项目的相应能力；国家有关规定或者招标文件对投标人资格条件有规定的，联合体各方均应当具备规定的相应资格条件。由同一专业的单位组成的联合体，按照资质等级较低的单位确定资质等级。</w:t>
      </w:r>
    </w:p>
    <w:p>
      <w:pPr>
        <w:spacing w:line="360" w:lineRule="auto"/>
        <w:ind w:firstLine="549"/>
        <w:rPr>
          <w:rFonts w:hint="eastAsia" w:ascii="宋体" w:hAnsi="宋体"/>
          <w:sz w:val="24"/>
        </w:rPr>
      </w:pPr>
      <w:r>
        <w:rPr>
          <w:rFonts w:hint="eastAsia" w:ascii="宋体" w:hAnsi="宋体"/>
          <w:sz w:val="24"/>
        </w:rPr>
        <w:t>8.3</w:t>
      </w:r>
      <w:r>
        <w:rPr>
          <w:rFonts w:ascii="宋体" w:hAnsi="宋体"/>
          <w:sz w:val="24"/>
        </w:rPr>
        <w:t>联合体各方应当签订</w:t>
      </w:r>
      <w:r>
        <w:rPr>
          <w:rFonts w:hint="eastAsia" w:ascii="宋体" w:hAnsi="宋体"/>
          <w:sz w:val="24"/>
        </w:rPr>
        <w:t>联合体</w:t>
      </w:r>
      <w:r>
        <w:rPr>
          <w:rFonts w:ascii="宋体" w:hAnsi="宋体"/>
          <w:sz w:val="24"/>
        </w:rPr>
        <w:t>协议，明确约定各方拟承担的工作和责任，并将</w:t>
      </w:r>
      <w:r>
        <w:rPr>
          <w:rFonts w:hint="eastAsia" w:ascii="宋体" w:hAnsi="宋体"/>
          <w:sz w:val="24"/>
        </w:rPr>
        <w:t>联合体</w:t>
      </w:r>
      <w:r>
        <w:rPr>
          <w:rFonts w:ascii="宋体" w:hAnsi="宋体"/>
          <w:sz w:val="24"/>
        </w:rPr>
        <w:t>协议连同投标文件一并提交。联合体中标的，联合体各方应当共同与招标人签订合同，就中标项目向招标人承担连带责任。联合体各方在同一招标项目</w:t>
      </w:r>
      <w:r>
        <w:rPr>
          <w:rFonts w:hint="eastAsia" w:ascii="宋体" w:hAnsi="宋体"/>
          <w:sz w:val="24"/>
        </w:rPr>
        <w:t>（标段）</w:t>
      </w:r>
      <w:r>
        <w:rPr>
          <w:rFonts w:ascii="宋体" w:hAnsi="宋体"/>
          <w:sz w:val="24"/>
        </w:rPr>
        <w:t>中以自己名义单独投标或者参加其他联合体投标的，相关投标均无效。</w:t>
      </w:r>
    </w:p>
    <w:p>
      <w:pPr>
        <w:spacing w:line="360" w:lineRule="auto"/>
        <w:ind w:firstLine="550"/>
        <w:rPr>
          <w:rFonts w:hint="eastAsia" w:ascii="宋体" w:hAnsi="宋体"/>
          <w:sz w:val="24"/>
        </w:rPr>
      </w:pPr>
      <w:r>
        <w:rPr>
          <w:rFonts w:hint="eastAsia" w:ascii="宋体" w:hAnsi="宋体"/>
          <w:sz w:val="24"/>
        </w:rPr>
        <w:t>8.4联合体投标的，可以由联合体中的一方或者共同提交投标保证金，以一方名义提交保证金的，对联合体各方均具有约束力。</w:t>
      </w:r>
    </w:p>
    <w:p>
      <w:pPr>
        <w:spacing w:line="360" w:lineRule="auto"/>
        <w:ind w:firstLine="525"/>
        <w:rPr>
          <w:rFonts w:hint="eastAsia" w:ascii="宋体" w:hAnsi="宋体"/>
          <w:b/>
          <w:bCs/>
          <w:sz w:val="24"/>
        </w:rPr>
      </w:pPr>
      <w:r>
        <w:rPr>
          <w:rFonts w:hint="eastAsia" w:ascii="宋体" w:hAnsi="宋体"/>
          <w:b/>
          <w:bCs/>
          <w:sz w:val="24"/>
        </w:rPr>
        <w:t>9.投标专用章的效力</w:t>
      </w:r>
    </w:p>
    <w:p>
      <w:pPr>
        <w:spacing w:line="360" w:lineRule="auto"/>
        <w:ind w:firstLine="525"/>
        <w:rPr>
          <w:rFonts w:hint="eastAsia" w:ascii="宋体" w:hAnsi="宋体"/>
          <w:sz w:val="24"/>
        </w:rPr>
      </w:pPr>
      <w:r>
        <w:rPr>
          <w:rFonts w:hint="eastAsia" w:ascii="宋体" w:hAnsi="宋体"/>
          <w:sz w:val="24"/>
        </w:rPr>
        <w:t>9.1招标文件中明确要求加盖公章的，投标人必须加盖投标人公章。</w:t>
      </w:r>
      <w:r>
        <w:rPr>
          <w:rFonts w:ascii="宋体" w:hAnsi="宋体"/>
          <w:sz w:val="24"/>
        </w:rPr>
        <w:t>在有授权文件(原件)表明投标专用章法律效力等同于</w:t>
      </w:r>
      <w:r>
        <w:rPr>
          <w:rFonts w:hint="eastAsia" w:ascii="宋体" w:hAnsi="宋体"/>
          <w:sz w:val="24"/>
        </w:rPr>
        <w:t>投标人</w:t>
      </w:r>
      <w:r>
        <w:rPr>
          <w:rFonts w:ascii="宋体" w:hAnsi="宋体"/>
          <w:sz w:val="24"/>
        </w:rPr>
        <w:t>公章的情况下，</w:t>
      </w:r>
      <w:r>
        <w:rPr>
          <w:rFonts w:hint="eastAsia" w:ascii="宋体" w:hAnsi="宋体"/>
          <w:sz w:val="24"/>
        </w:rPr>
        <w:t>可以加</w:t>
      </w:r>
      <w:r>
        <w:rPr>
          <w:rFonts w:ascii="宋体" w:hAnsi="宋体"/>
          <w:sz w:val="24"/>
        </w:rPr>
        <w:t>盖投标专用章</w:t>
      </w:r>
      <w:r>
        <w:rPr>
          <w:rFonts w:hint="eastAsia" w:ascii="宋体" w:hAnsi="宋体"/>
          <w:sz w:val="24"/>
        </w:rPr>
        <w:t>，否则将导致投标无效。</w:t>
      </w:r>
    </w:p>
    <w:p>
      <w:pPr>
        <w:spacing w:line="360" w:lineRule="auto"/>
        <w:ind w:firstLine="550"/>
        <w:rPr>
          <w:rFonts w:hint="eastAsia" w:ascii="宋体" w:hAnsi="宋体"/>
          <w:b/>
          <w:bCs/>
          <w:sz w:val="24"/>
        </w:rPr>
      </w:pPr>
      <w:r>
        <w:rPr>
          <w:rFonts w:hint="eastAsia" w:ascii="宋体" w:hAnsi="宋体"/>
          <w:b/>
          <w:bCs/>
          <w:sz w:val="24"/>
        </w:rPr>
        <w:t>10.合同标的转让</w:t>
      </w:r>
    </w:p>
    <w:p>
      <w:pPr>
        <w:spacing w:line="360" w:lineRule="auto"/>
        <w:ind w:firstLine="523" w:firstLineChars="218"/>
        <w:rPr>
          <w:rFonts w:hint="eastAsia" w:ascii="宋体" w:hAnsi="宋体"/>
          <w:sz w:val="24"/>
        </w:rPr>
      </w:pPr>
      <w:r>
        <w:rPr>
          <w:rFonts w:hint="eastAsia" w:ascii="宋体" w:hAnsi="宋体"/>
          <w:sz w:val="24"/>
        </w:rPr>
        <w:t xml:space="preserve">10.1合同未约定或者未经招标人同意，中标人不得向他人转让中标项目，也不得将中标项目肢解后分别向他人转让。 </w:t>
      </w:r>
    </w:p>
    <w:p>
      <w:pPr>
        <w:spacing w:line="360" w:lineRule="auto"/>
        <w:ind w:firstLine="523" w:firstLineChars="218"/>
        <w:rPr>
          <w:rFonts w:hint="eastAsia" w:ascii="宋体" w:hAnsi="宋体"/>
          <w:sz w:val="24"/>
        </w:rPr>
      </w:pPr>
      <w:r>
        <w:rPr>
          <w:rFonts w:hint="eastAsia" w:ascii="宋体" w:hAnsi="宋体"/>
          <w:sz w:val="24"/>
        </w:rPr>
        <w:t>10.2合同约定或者经招标人同意，中标人可以将中标项目的部分非主体、非关键性工作分包给他人完成。接受分包的人应当具备相应的资格条件，并不得再次分包。如果本项目允许分包，招标人根据招标项目的实际情况，拟在中标后将中标项目的非主体、非关键性工作交由他人完成的，应在投标文件中载明。</w:t>
      </w:r>
    </w:p>
    <w:p>
      <w:pPr>
        <w:spacing w:line="360" w:lineRule="auto"/>
        <w:ind w:firstLine="523" w:firstLineChars="218"/>
        <w:rPr>
          <w:rFonts w:hint="eastAsia" w:ascii="宋体" w:hAnsi="宋体"/>
          <w:sz w:val="24"/>
        </w:rPr>
      </w:pPr>
      <w:r>
        <w:rPr>
          <w:rFonts w:hint="eastAsia" w:ascii="宋体" w:hAnsi="宋体"/>
          <w:sz w:val="24"/>
        </w:rPr>
        <w:t>10.3中标人应当就分包项目向招标人负责，接受分包的人就分包项目承担连带责任。</w:t>
      </w:r>
    </w:p>
    <w:p>
      <w:pPr>
        <w:spacing w:line="360" w:lineRule="auto"/>
        <w:ind w:firstLine="550"/>
        <w:rPr>
          <w:rFonts w:hint="eastAsia" w:ascii="宋体" w:hAnsi="宋体"/>
          <w:b/>
          <w:bCs/>
          <w:sz w:val="24"/>
        </w:rPr>
      </w:pPr>
      <w:bookmarkStart w:id="24" w:name="_Hlt509650690"/>
      <w:bookmarkEnd w:id="24"/>
      <w:bookmarkStart w:id="25" w:name="_Hlt509650936"/>
      <w:bookmarkEnd w:id="25"/>
      <w:bookmarkStart w:id="26" w:name="_Hlt509649795"/>
      <w:bookmarkEnd w:id="26"/>
      <w:bookmarkStart w:id="27" w:name="_Hlt509649669"/>
      <w:bookmarkEnd w:id="27"/>
      <w:bookmarkStart w:id="28" w:name="_Hlt509650116"/>
      <w:bookmarkEnd w:id="28"/>
      <w:bookmarkStart w:id="29" w:name="_Hlt509650929"/>
      <w:bookmarkEnd w:id="29"/>
      <w:bookmarkStart w:id="30" w:name="_Hlt509650932"/>
      <w:bookmarkEnd w:id="30"/>
      <w:bookmarkStart w:id="31" w:name="_Hlt509649678"/>
      <w:bookmarkEnd w:id="31"/>
      <w:bookmarkStart w:id="32" w:name="_Hlt509649645"/>
      <w:bookmarkEnd w:id="32"/>
      <w:bookmarkStart w:id="33" w:name="_Hlt526418153"/>
      <w:bookmarkEnd w:id="33"/>
      <w:bookmarkStart w:id="34" w:name="_Hlt509650103"/>
      <w:bookmarkEnd w:id="34"/>
      <w:bookmarkStart w:id="35" w:name="_Hlt509650961"/>
      <w:bookmarkEnd w:id="35"/>
      <w:bookmarkStart w:id="36" w:name="_Hlt509650333"/>
      <w:bookmarkEnd w:id="36"/>
      <w:bookmarkStart w:id="37" w:name="_Hlt509649330"/>
      <w:bookmarkEnd w:id="37"/>
      <w:r>
        <w:rPr>
          <w:rFonts w:hint="eastAsia" w:ascii="宋体" w:hAnsi="宋体"/>
          <w:b/>
          <w:bCs/>
          <w:sz w:val="24"/>
        </w:rPr>
        <w:t>11.招标信息的发布</w:t>
      </w:r>
    </w:p>
    <w:p>
      <w:pPr>
        <w:spacing w:line="360" w:lineRule="auto"/>
        <w:ind w:firstLine="550"/>
        <w:rPr>
          <w:rFonts w:hint="eastAsia" w:ascii="宋体" w:hAnsi="宋体"/>
          <w:sz w:val="28"/>
        </w:rPr>
      </w:pPr>
      <w:r>
        <w:rPr>
          <w:rFonts w:hint="eastAsia" w:ascii="宋体" w:hAnsi="宋体"/>
          <w:sz w:val="24"/>
        </w:rPr>
        <w:t>11.1与本次招标活动相关的信息，将在相关招标投标信息网上发布。</w:t>
      </w:r>
    </w:p>
    <w:p>
      <w:pPr>
        <w:pStyle w:val="5"/>
        <w:spacing w:line="360" w:lineRule="auto"/>
        <w:ind w:firstLine="628"/>
        <w:rPr>
          <w:rFonts w:hint="eastAsia" w:hAnsi="宋体"/>
          <w:sz w:val="28"/>
        </w:rPr>
      </w:pPr>
      <w:bookmarkStart w:id="38" w:name="_Toc504073353"/>
      <w:r>
        <w:rPr>
          <w:rFonts w:hint="eastAsia" w:hAnsi="宋体"/>
          <w:sz w:val="28"/>
        </w:rPr>
        <w:t>二．招标文件</w:t>
      </w:r>
      <w:bookmarkEnd w:id="38"/>
      <w:bookmarkStart w:id="39" w:name="_Hlt509649791"/>
      <w:bookmarkEnd w:id="39"/>
      <w:bookmarkStart w:id="40" w:name="_Hlt509649930"/>
      <w:bookmarkEnd w:id="40"/>
      <w:bookmarkStart w:id="41" w:name="_Hlt509650361"/>
      <w:bookmarkEnd w:id="41"/>
    </w:p>
    <w:p>
      <w:pPr>
        <w:spacing w:line="360" w:lineRule="auto"/>
        <w:ind w:firstLine="549"/>
        <w:rPr>
          <w:rFonts w:hint="eastAsia" w:ascii="宋体" w:hAnsi="宋体"/>
          <w:b/>
          <w:sz w:val="24"/>
        </w:rPr>
      </w:pPr>
      <w:bookmarkStart w:id="42" w:name="_Hlt509650734"/>
      <w:bookmarkEnd w:id="42"/>
      <w:r>
        <w:rPr>
          <w:rFonts w:hint="eastAsia" w:ascii="宋体" w:hAnsi="宋体"/>
          <w:b/>
          <w:sz w:val="24"/>
        </w:rPr>
        <w:t>12.招标文件构成</w:t>
      </w:r>
    </w:p>
    <w:p>
      <w:pPr>
        <w:spacing w:line="360" w:lineRule="auto"/>
        <w:ind w:firstLine="549"/>
        <w:rPr>
          <w:rFonts w:hint="eastAsia" w:ascii="宋体" w:hAnsi="宋体"/>
          <w:sz w:val="24"/>
        </w:rPr>
      </w:pPr>
      <w:r>
        <w:rPr>
          <w:rFonts w:hint="eastAsia" w:ascii="宋体" w:hAnsi="宋体"/>
          <w:sz w:val="24"/>
        </w:rPr>
        <w:t>12</w:t>
      </w:r>
      <w:r>
        <w:rPr>
          <w:rFonts w:ascii="宋体" w:hAnsi="宋体"/>
          <w:sz w:val="24"/>
        </w:rPr>
        <w:t>.1</w:t>
      </w:r>
      <w:r>
        <w:rPr>
          <w:rFonts w:hint="eastAsia" w:ascii="宋体" w:hAnsi="宋体"/>
          <w:sz w:val="24"/>
        </w:rPr>
        <w:t>招标文件包括以下部分：</w:t>
      </w:r>
    </w:p>
    <w:p>
      <w:pPr>
        <w:spacing w:line="360" w:lineRule="auto"/>
        <w:ind w:firstLine="523" w:firstLineChars="218"/>
        <w:rPr>
          <w:rFonts w:hint="eastAsia" w:ascii="宋体" w:hAnsi="宋体"/>
          <w:bCs/>
          <w:sz w:val="24"/>
        </w:rPr>
      </w:pPr>
      <w:r>
        <w:rPr>
          <w:rFonts w:hint="eastAsia" w:ascii="宋体" w:hAnsi="宋体"/>
          <w:sz w:val="24"/>
        </w:rPr>
        <w:t>12</w:t>
      </w:r>
      <w:r>
        <w:rPr>
          <w:rFonts w:ascii="宋体" w:hAnsi="宋体"/>
          <w:sz w:val="24"/>
        </w:rPr>
        <w:t>.1</w:t>
      </w:r>
      <w:r>
        <w:rPr>
          <w:rFonts w:hint="eastAsia" w:ascii="宋体" w:hAnsi="宋体"/>
          <w:sz w:val="24"/>
        </w:rPr>
        <w:t>.1第一章：</w:t>
      </w:r>
      <w:r>
        <w:rPr>
          <w:rFonts w:hint="eastAsia" w:ascii="宋体" w:hAnsi="宋体"/>
          <w:bCs/>
          <w:sz w:val="24"/>
        </w:rPr>
        <w:t>招标公告；</w:t>
      </w:r>
    </w:p>
    <w:p>
      <w:pPr>
        <w:spacing w:line="360" w:lineRule="auto"/>
        <w:ind w:firstLine="523" w:firstLineChars="218"/>
        <w:rPr>
          <w:rFonts w:hint="eastAsia" w:ascii="宋体" w:hAnsi="宋体"/>
          <w:bCs/>
          <w:sz w:val="24"/>
        </w:rPr>
      </w:pPr>
      <w:r>
        <w:rPr>
          <w:rFonts w:hint="eastAsia" w:ascii="宋体" w:hAnsi="宋体"/>
          <w:sz w:val="24"/>
        </w:rPr>
        <w:t>12</w:t>
      </w:r>
      <w:r>
        <w:rPr>
          <w:rFonts w:ascii="宋体" w:hAnsi="宋体"/>
          <w:sz w:val="24"/>
        </w:rPr>
        <w:t>.1</w:t>
      </w:r>
      <w:r>
        <w:rPr>
          <w:rFonts w:hint="eastAsia" w:ascii="宋体" w:hAnsi="宋体"/>
          <w:sz w:val="24"/>
        </w:rPr>
        <w:t>.2第二章：</w:t>
      </w:r>
      <w:bookmarkStart w:id="43" w:name="_Hlt509650925"/>
      <w:bookmarkEnd w:id="43"/>
      <w:r>
        <w:rPr>
          <w:rFonts w:hint="eastAsia" w:ascii="宋体" w:hAnsi="宋体"/>
          <w:bCs/>
          <w:sz w:val="24"/>
        </w:rPr>
        <w:t>投标人须知前附表；</w:t>
      </w:r>
    </w:p>
    <w:p>
      <w:pPr>
        <w:spacing w:line="360" w:lineRule="auto"/>
        <w:ind w:firstLine="523" w:firstLineChars="218"/>
        <w:rPr>
          <w:rFonts w:hint="eastAsia" w:ascii="宋体" w:hAnsi="宋体"/>
          <w:bCs/>
          <w:sz w:val="24"/>
        </w:rPr>
      </w:pPr>
      <w:r>
        <w:rPr>
          <w:rFonts w:hint="eastAsia" w:ascii="宋体" w:hAnsi="宋体"/>
          <w:sz w:val="24"/>
        </w:rPr>
        <w:t>12</w:t>
      </w:r>
      <w:r>
        <w:rPr>
          <w:rFonts w:ascii="宋体" w:hAnsi="宋体"/>
          <w:sz w:val="24"/>
        </w:rPr>
        <w:t>.1</w:t>
      </w:r>
      <w:r>
        <w:rPr>
          <w:rFonts w:hint="eastAsia" w:ascii="宋体" w:hAnsi="宋体"/>
          <w:sz w:val="24"/>
        </w:rPr>
        <w:t>.3第三章：</w:t>
      </w:r>
      <w:r>
        <w:rPr>
          <w:rFonts w:hint="eastAsia" w:ascii="宋体" w:hAnsi="宋体"/>
          <w:bCs/>
          <w:sz w:val="24"/>
        </w:rPr>
        <w:t>招标需求；</w:t>
      </w:r>
    </w:p>
    <w:p>
      <w:pPr>
        <w:spacing w:line="360" w:lineRule="auto"/>
        <w:ind w:firstLine="523" w:firstLineChars="218"/>
        <w:rPr>
          <w:rFonts w:hint="eastAsia" w:ascii="宋体" w:hAnsi="宋体"/>
          <w:sz w:val="24"/>
        </w:rPr>
      </w:pPr>
      <w:r>
        <w:rPr>
          <w:rFonts w:hint="eastAsia" w:ascii="宋体" w:hAnsi="宋体"/>
          <w:sz w:val="24"/>
        </w:rPr>
        <w:t>12</w:t>
      </w:r>
      <w:r>
        <w:rPr>
          <w:rFonts w:ascii="宋体" w:hAnsi="宋体"/>
          <w:sz w:val="24"/>
        </w:rPr>
        <w:t>.1</w:t>
      </w:r>
      <w:r>
        <w:rPr>
          <w:rFonts w:hint="eastAsia" w:ascii="宋体" w:hAnsi="宋体"/>
          <w:sz w:val="24"/>
        </w:rPr>
        <w:t>.4第四章：</w:t>
      </w:r>
      <w:r>
        <w:rPr>
          <w:rFonts w:hint="eastAsia" w:ascii="宋体" w:hAnsi="宋体"/>
          <w:bCs/>
          <w:sz w:val="24"/>
        </w:rPr>
        <w:t>评标办法；</w:t>
      </w:r>
    </w:p>
    <w:p>
      <w:pPr>
        <w:spacing w:line="360" w:lineRule="auto"/>
        <w:ind w:firstLine="523" w:firstLineChars="218"/>
        <w:rPr>
          <w:rFonts w:hint="eastAsia" w:ascii="宋体" w:hAnsi="宋体"/>
          <w:bCs/>
          <w:sz w:val="24"/>
        </w:rPr>
      </w:pPr>
      <w:r>
        <w:rPr>
          <w:rFonts w:hint="eastAsia" w:ascii="宋体" w:hAnsi="宋体"/>
          <w:sz w:val="24"/>
        </w:rPr>
        <w:t>12</w:t>
      </w:r>
      <w:r>
        <w:rPr>
          <w:rFonts w:ascii="宋体" w:hAnsi="宋体"/>
          <w:sz w:val="24"/>
        </w:rPr>
        <w:t>.1</w:t>
      </w:r>
      <w:r>
        <w:rPr>
          <w:rFonts w:hint="eastAsia" w:ascii="宋体" w:hAnsi="宋体"/>
          <w:sz w:val="24"/>
        </w:rPr>
        <w:t>.5第五章：</w:t>
      </w:r>
      <w:r>
        <w:rPr>
          <w:rFonts w:hint="eastAsia" w:ascii="宋体" w:hAnsi="宋体"/>
          <w:bCs/>
          <w:sz w:val="24"/>
        </w:rPr>
        <w:t>投标人须知；</w:t>
      </w:r>
    </w:p>
    <w:p>
      <w:pPr>
        <w:spacing w:line="360" w:lineRule="auto"/>
        <w:ind w:firstLine="523" w:firstLineChars="218"/>
        <w:rPr>
          <w:rFonts w:hint="eastAsia" w:ascii="宋体" w:hAnsi="宋体"/>
          <w:bCs/>
          <w:sz w:val="24"/>
        </w:rPr>
      </w:pPr>
      <w:r>
        <w:rPr>
          <w:rFonts w:hint="eastAsia" w:ascii="宋体" w:hAnsi="宋体"/>
          <w:sz w:val="24"/>
        </w:rPr>
        <w:t>12</w:t>
      </w:r>
      <w:r>
        <w:rPr>
          <w:rFonts w:ascii="宋体" w:hAnsi="宋体"/>
          <w:sz w:val="24"/>
        </w:rPr>
        <w:t>.1</w:t>
      </w:r>
      <w:r>
        <w:rPr>
          <w:rFonts w:hint="eastAsia" w:ascii="宋体" w:hAnsi="宋体"/>
          <w:sz w:val="24"/>
        </w:rPr>
        <w:t>.6第六章：</w:t>
      </w:r>
      <w:r>
        <w:rPr>
          <w:rFonts w:hint="eastAsia" w:ascii="宋体" w:hAnsi="宋体"/>
          <w:bCs/>
          <w:sz w:val="24"/>
        </w:rPr>
        <w:t>合同；</w:t>
      </w:r>
    </w:p>
    <w:p>
      <w:pPr>
        <w:spacing w:line="360" w:lineRule="auto"/>
        <w:ind w:firstLine="523" w:firstLineChars="218"/>
        <w:rPr>
          <w:rFonts w:hint="eastAsia" w:ascii="宋体" w:hAnsi="宋体"/>
          <w:bCs/>
          <w:sz w:val="24"/>
        </w:rPr>
      </w:pPr>
      <w:r>
        <w:rPr>
          <w:rFonts w:hint="eastAsia" w:ascii="宋体" w:hAnsi="宋体"/>
          <w:sz w:val="24"/>
        </w:rPr>
        <w:t>12</w:t>
      </w:r>
      <w:r>
        <w:rPr>
          <w:rFonts w:ascii="宋体" w:hAnsi="宋体"/>
          <w:sz w:val="24"/>
        </w:rPr>
        <w:t>.1</w:t>
      </w:r>
      <w:r>
        <w:rPr>
          <w:rFonts w:hint="eastAsia" w:ascii="宋体" w:hAnsi="宋体"/>
          <w:sz w:val="24"/>
        </w:rPr>
        <w:t>.7第七章：</w:t>
      </w:r>
      <w:r>
        <w:rPr>
          <w:rFonts w:hint="eastAsia" w:ascii="宋体" w:hAnsi="宋体"/>
          <w:bCs/>
          <w:sz w:val="24"/>
        </w:rPr>
        <w:t>投标文件格式；</w:t>
      </w:r>
    </w:p>
    <w:p>
      <w:pPr>
        <w:spacing w:line="360" w:lineRule="auto"/>
        <w:ind w:firstLine="523" w:firstLineChars="218"/>
        <w:rPr>
          <w:rFonts w:hint="eastAsia" w:ascii="宋体" w:hAnsi="宋体"/>
          <w:sz w:val="24"/>
        </w:rPr>
      </w:pPr>
      <w:r>
        <w:rPr>
          <w:rFonts w:hint="eastAsia" w:ascii="宋体" w:hAnsi="宋体"/>
          <w:bCs/>
          <w:sz w:val="24"/>
        </w:rPr>
        <w:t>12.1.8利信公司发布的</w:t>
      </w:r>
      <w:r>
        <w:rPr>
          <w:rFonts w:hint="eastAsia"/>
          <w:sz w:val="24"/>
        </w:rPr>
        <w:t>图纸、答疑、补遗、补充通知等。</w:t>
      </w:r>
    </w:p>
    <w:p>
      <w:pPr>
        <w:spacing w:line="360" w:lineRule="auto"/>
        <w:ind w:firstLine="549"/>
        <w:rPr>
          <w:rFonts w:hint="eastAsia" w:ascii="宋体" w:hAnsi="宋体"/>
          <w:sz w:val="24"/>
        </w:rPr>
      </w:pPr>
      <w:r>
        <w:rPr>
          <w:rFonts w:hint="eastAsia" w:ascii="宋体" w:hAnsi="宋体"/>
          <w:sz w:val="24"/>
        </w:rPr>
        <w:t>12</w:t>
      </w:r>
      <w:r>
        <w:rPr>
          <w:rFonts w:ascii="宋体" w:hAnsi="宋体"/>
          <w:sz w:val="24"/>
        </w:rPr>
        <w:t>.</w:t>
      </w:r>
      <w:r>
        <w:rPr>
          <w:rFonts w:hint="eastAsia" w:ascii="宋体" w:hAnsi="宋体"/>
          <w:sz w:val="24"/>
        </w:rPr>
        <w:t>2</w:t>
      </w:r>
      <w:r>
        <w:rPr>
          <w:rFonts w:ascii="宋体" w:hAnsi="宋体"/>
          <w:sz w:val="24"/>
        </w:rPr>
        <w:t xml:space="preserve"> </w:t>
      </w:r>
      <w:r>
        <w:rPr>
          <w:rFonts w:hint="eastAsia" w:ascii="宋体" w:hAnsi="宋体"/>
          <w:sz w:val="24"/>
        </w:rPr>
        <w:t>投标人应认真阅读招标文件中所有的事项、格式、条件、条款和规范等要求。</w:t>
      </w:r>
    </w:p>
    <w:p>
      <w:pPr>
        <w:spacing w:line="360" w:lineRule="auto"/>
        <w:ind w:firstLine="550"/>
        <w:rPr>
          <w:rFonts w:hint="eastAsia" w:ascii="宋体" w:hAnsi="宋体"/>
          <w:sz w:val="24"/>
        </w:rPr>
      </w:pPr>
      <w:r>
        <w:rPr>
          <w:rFonts w:hint="eastAsia" w:ascii="宋体" w:hAnsi="宋体"/>
          <w:sz w:val="24"/>
        </w:rPr>
        <w:t>12.3投标人应当按照招标文件的要求编制投标文件。投标文件应对招标文件提出的要求和条件作出实质性响应。</w:t>
      </w:r>
    </w:p>
    <w:p>
      <w:pPr>
        <w:spacing w:line="360" w:lineRule="auto"/>
        <w:ind w:firstLine="550"/>
        <w:rPr>
          <w:rFonts w:hint="eastAsia" w:ascii="宋体" w:hAnsi="宋体"/>
          <w:sz w:val="24"/>
        </w:rPr>
      </w:pPr>
      <w:r>
        <w:rPr>
          <w:rFonts w:hint="eastAsia" w:ascii="宋体" w:hAnsi="宋体"/>
          <w:sz w:val="24"/>
        </w:rPr>
        <w:t>12.4投标人获取招标文件后，应仔细检查招标文件的所有内容，如有问题应在获得招标文件</w:t>
      </w:r>
      <w:r>
        <w:rPr>
          <w:rFonts w:ascii="宋体" w:hAnsi="宋体"/>
          <w:sz w:val="24"/>
        </w:rPr>
        <w:t>3</w:t>
      </w:r>
      <w:r>
        <w:rPr>
          <w:rFonts w:hint="eastAsia" w:ascii="宋体" w:hAnsi="宋体"/>
          <w:sz w:val="24"/>
        </w:rPr>
        <w:t>日内向利信公司提出，否则，由此引起的损失由投标人自行承担。</w:t>
      </w:r>
    </w:p>
    <w:p>
      <w:pPr>
        <w:spacing w:line="360" w:lineRule="auto"/>
        <w:ind w:firstLine="549"/>
        <w:rPr>
          <w:rFonts w:hint="eastAsia" w:ascii="宋体" w:hAnsi="宋体"/>
          <w:b/>
          <w:sz w:val="24"/>
        </w:rPr>
      </w:pPr>
      <w:r>
        <w:rPr>
          <w:rFonts w:hint="eastAsia" w:ascii="宋体" w:hAnsi="宋体"/>
          <w:b/>
          <w:sz w:val="24"/>
        </w:rPr>
        <w:t>13.答疑及招标文件的澄清与修改</w:t>
      </w:r>
    </w:p>
    <w:p>
      <w:pPr>
        <w:spacing w:line="360" w:lineRule="auto"/>
        <w:ind w:firstLine="550"/>
        <w:rPr>
          <w:rFonts w:hint="eastAsia" w:ascii="宋体" w:hAnsi="宋体"/>
          <w:sz w:val="24"/>
          <w:szCs w:val="22"/>
        </w:rPr>
      </w:pPr>
      <w:r>
        <w:rPr>
          <w:rFonts w:hint="eastAsia" w:ascii="宋体" w:hAnsi="宋体"/>
          <w:sz w:val="24"/>
        </w:rPr>
        <w:t>13</w:t>
      </w:r>
      <w:r>
        <w:rPr>
          <w:rFonts w:ascii="宋体" w:hAnsi="宋体"/>
          <w:sz w:val="24"/>
        </w:rPr>
        <w:t>.</w:t>
      </w:r>
      <w:r>
        <w:rPr>
          <w:rFonts w:hint="eastAsia" w:ascii="宋体" w:hAnsi="宋体"/>
          <w:sz w:val="24"/>
        </w:rPr>
        <w:t>1投标人如果对招标文件、工程量清单、控制价等招标文件的其他任何内容有相关疑问，可以于投标人须知前附表列明的答疑接受时间前，以多种形式向</w:t>
      </w:r>
      <w:r>
        <w:rPr>
          <w:rFonts w:hint="eastAsia" w:ascii="宋体" w:hAnsi="宋体"/>
          <w:sz w:val="24"/>
          <w:szCs w:val="22"/>
          <w:lang w:eastAsia="zh-CN"/>
        </w:rPr>
        <w:t>安徽国翠玉艺股份有限公司</w:t>
      </w:r>
      <w:r>
        <w:rPr>
          <w:rFonts w:hint="eastAsia" w:ascii="宋体" w:hAnsi="宋体"/>
          <w:sz w:val="24"/>
          <w:szCs w:val="22"/>
        </w:rPr>
        <w:t>公司提出（疑问文件以文档形式提供，如WORD文档等）。</w:t>
      </w:r>
    </w:p>
    <w:p>
      <w:pPr>
        <w:spacing w:line="360" w:lineRule="auto"/>
        <w:ind w:firstLine="550"/>
        <w:rPr>
          <w:rFonts w:ascii="宋体" w:hAnsi="宋体"/>
          <w:sz w:val="24"/>
        </w:rPr>
      </w:pPr>
      <w:r>
        <w:rPr>
          <w:rFonts w:hint="eastAsia" w:ascii="宋体" w:hAnsi="宋体"/>
          <w:sz w:val="24"/>
        </w:rPr>
        <w:t>13.1.1除非招标文件明确约定，否则，如招标文件存在不一致时，优先顺序如下：（1）招标公告；（2）投标人须知前附表；（3）招标需求；（4）评标办法；（5）其他。</w:t>
      </w:r>
    </w:p>
    <w:p>
      <w:pPr>
        <w:spacing w:line="360" w:lineRule="auto"/>
        <w:ind w:firstLine="550"/>
        <w:rPr>
          <w:rFonts w:hint="eastAsia" w:ascii="宋体" w:hAnsi="宋体"/>
          <w:sz w:val="24"/>
        </w:rPr>
      </w:pPr>
      <w:r>
        <w:rPr>
          <w:rFonts w:hint="eastAsia" w:ascii="宋体" w:hAnsi="宋体"/>
          <w:sz w:val="24"/>
        </w:rPr>
        <w:t xml:space="preserve">13.1.2除非招标文件明确约定，否则，如招标文件及其他附件资料之间存在不一致时，以要求严格或质量等级高的为准。 </w:t>
      </w:r>
    </w:p>
    <w:p>
      <w:pPr>
        <w:spacing w:line="360" w:lineRule="auto"/>
        <w:ind w:firstLine="550"/>
        <w:rPr>
          <w:rFonts w:hint="eastAsia" w:ascii="宋体" w:hAnsi="宋体"/>
          <w:sz w:val="24"/>
        </w:rPr>
      </w:pPr>
      <w:r>
        <w:rPr>
          <w:rFonts w:hint="eastAsia" w:ascii="宋体" w:hAnsi="宋体"/>
          <w:sz w:val="24"/>
        </w:rPr>
        <w:t>13.2</w:t>
      </w:r>
      <w:r>
        <w:rPr>
          <w:rFonts w:ascii="宋体" w:hAnsi="宋体"/>
          <w:sz w:val="24"/>
        </w:rPr>
        <w:t>疑问的提出与答疑获取具体步骤：</w:t>
      </w:r>
      <w:r>
        <w:rPr>
          <w:rFonts w:hint="eastAsia" w:ascii="宋体" w:hAnsi="宋体"/>
          <w:sz w:val="24"/>
        </w:rPr>
        <w:t>投标人若对招标文件有任何疑问，应于投标截止时间前10以书面形式向招标代理机构以书面（word格式及加盖单位公章的扫描件）形式提出并发送至邮箱,逾期概不受理。无论是招标人根据需要主动对招标文件进行必要的澄清，或是根据投标人的要求对招标文件做出澄清，招标人都将于投标截止时间前以书面形式予以澄清，将书面澄清文件向所有已购买招标文件的各潜在投标人发送。各潜在投标人在收到该澄清文件后应当立即以书面形式给予确认，该澄清作为招标文件的组成部分，具有约束作用。投标单位对招标单位或招标代理机构提供的招标文件所做出的推论、解释和结论，招标单位或招标代理机构概不负责。投标单位由于对招标文件的任何推论误解以及招标单位或招标代理机构对有关问题的口头解释所造成的后果，均由投标单位自负。</w:t>
      </w:r>
    </w:p>
    <w:p>
      <w:pPr>
        <w:spacing w:line="360" w:lineRule="auto"/>
        <w:ind w:firstLine="550"/>
        <w:rPr>
          <w:rFonts w:hint="eastAsia" w:ascii="宋体" w:hAnsi="宋体"/>
          <w:sz w:val="24"/>
        </w:rPr>
      </w:pPr>
      <w:r>
        <w:rPr>
          <w:rFonts w:hint="eastAsia" w:ascii="宋体" w:hAnsi="宋体"/>
          <w:sz w:val="24"/>
        </w:rPr>
        <w:t>13.3</w:t>
      </w:r>
      <w:r>
        <w:rPr>
          <w:rFonts w:hint="eastAsia" w:ascii="宋体" w:hAnsi="宋体"/>
          <w:sz w:val="24"/>
          <w:szCs w:val="22"/>
          <w:lang w:eastAsia="zh-CN"/>
        </w:rPr>
        <w:t>安徽国翠玉艺股份有限公司</w:t>
      </w:r>
      <w:r>
        <w:rPr>
          <w:rFonts w:hint="eastAsia" w:ascii="宋体" w:hAnsi="宋体"/>
          <w:sz w:val="24"/>
          <w:szCs w:val="22"/>
        </w:rPr>
        <w:t>公司对招</w:t>
      </w:r>
      <w:r>
        <w:rPr>
          <w:rFonts w:hint="eastAsia" w:ascii="宋体" w:hAnsi="宋体"/>
          <w:sz w:val="24"/>
        </w:rPr>
        <w:t>标文件进行的答疑、澄清、变更或补充，将已邮件形式通知每一位投标人，该邮件内容为招标文件的组成部分，对投标人具有同样约束力效力。当招标文件和招标文件的答疑、澄清、变更或补充等在同一内容的表述上不一致时，以最后发出的书面文件为准。投标人应主动上网查询。利信公司不承担投标人未及时关注相关信息引发的相关责任。</w:t>
      </w:r>
    </w:p>
    <w:p>
      <w:pPr>
        <w:spacing w:line="360" w:lineRule="auto"/>
        <w:ind w:firstLine="550"/>
        <w:rPr>
          <w:rFonts w:hint="eastAsia" w:ascii="宋体" w:hAnsi="宋体"/>
          <w:sz w:val="24"/>
        </w:rPr>
      </w:pPr>
      <w:r>
        <w:rPr>
          <w:rFonts w:hint="eastAsia" w:ascii="宋体" w:hAnsi="宋体"/>
          <w:sz w:val="24"/>
        </w:rPr>
        <w:t>13.4在投标截止时间前，</w:t>
      </w:r>
      <w:r>
        <w:rPr>
          <w:rFonts w:hint="eastAsia" w:ascii="宋体" w:hAnsi="宋体"/>
          <w:sz w:val="24"/>
          <w:szCs w:val="22"/>
          <w:lang w:eastAsia="zh-CN"/>
        </w:rPr>
        <w:t>安徽国翠玉艺股份有限公司</w:t>
      </w:r>
      <w:r>
        <w:rPr>
          <w:rFonts w:hint="eastAsia" w:ascii="宋体" w:hAnsi="宋体"/>
          <w:sz w:val="24"/>
        </w:rPr>
        <w:t>可以视招标具体情况，延长投标截止时间和开标时间，并在招标文件要求提交投标文件的截止时间三日前，在网站上发布变更公告。在上述情况下，</w:t>
      </w:r>
      <w:r>
        <w:rPr>
          <w:rFonts w:hint="eastAsia" w:ascii="宋体" w:hAnsi="宋体"/>
          <w:sz w:val="24"/>
          <w:szCs w:val="22"/>
          <w:lang w:eastAsia="zh-CN"/>
        </w:rPr>
        <w:t>安徽国翠玉艺股份有限公司</w:t>
      </w:r>
      <w:r>
        <w:rPr>
          <w:rFonts w:hint="eastAsia" w:ascii="宋体" w:hAnsi="宋体"/>
          <w:sz w:val="24"/>
        </w:rPr>
        <w:t>和投标人在投标截止期方面的全部权力、责任和义务，将适用于延长后新的投标截止期。</w:t>
      </w:r>
    </w:p>
    <w:p>
      <w:pPr>
        <w:spacing w:line="360" w:lineRule="auto"/>
        <w:ind w:firstLine="550"/>
        <w:rPr>
          <w:rFonts w:hint="eastAsia" w:ascii="宋体" w:hAnsi="宋体"/>
          <w:sz w:val="28"/>
        </w:rPr>
      </w:pPr>
      <w:r>
        <w:rPr>
          <w:rFonts w:hint="eastAsia" w:ascii="宋体" w:hAnsi="宋体"/>
          <w:sz w:val="24"/>
        </w:rPr>
        <w:t>13.5特殊情况下，</w:t>
      </w:r>
      <w:r>
        <w:rPr>
          <w:rFonts w:hint="eastAsia" w:ascii="宋体" w:hAnsi="宋体"/>
          <w:sz w:val="24"/>
          <w:szCs w:val="22"/>
          <w:lang w:eastAsia="zh-CN"/>
        </w:rPr>
        <w:t>安徽国翠玉艺股份有限公司</w:t>
      </w:r>
      <w:r>
        <w:rPr>
          <w:rFonts w:hint="eastAsia" w:ascii="宋体" w:hAnsi="宋体"/>
          <w:sz w:val="24"/>
        </w:rPr>
        <w:t>发布澄清、更正或更改公告后，征得投标人同意，可不改变投标截止时间和开标时间。</w:t>
      </w:r>
    </w:p>
    <w:p>
      <w:pPr>
        <w:pStyle w:val="5"/>
        <w:spacing w:line="360" w:lineRule="auto"/>
        <w:ind w:firstLine="628"/>
        <w:rPr>
          <w:rFonts w:hint="eastAsia" w:hAnsi="宋体"/>
          <w:sz w:val="28"/>
        </w:rPr>
      </w:pPr>
      <w:bookmarkStart w:id="44" w:name="_Hlt509649724"/>
      <w:bookmarkEnd w:id="44"/>
      <w:bookmarkStart w:id="45" w:name="_Hlt509650697"/>
      <w:bookmarkEnd w:id="45"/>
      <w:bookmarkStart w:id="46" w:name="_Hlt510342861"/>
      <w:bookmarkEnd w:id="46"/>
      <w:bookmarkStart w:id="47" w:name="_Toc504073354"/>
      <w:r>
        <w:rPr>
          <w:rFonts w:hint="eastAsia" w:hAnsi="宋体"/>
          <w:sz w:val="28"/>
        </w:rPr>
        <w:t>三．投标文件的编制</w:t>
      </w:r>
      <w:bookmarkEnd w:id="47"/>
    </w:p>
    <w:p>
      <w:pPr>
        <w:spacing w:line="360" w:lineRule="auto"/>
        <w:ind w:firstLine="550"/>
        <w:rPr>
          <w:rFonts w:hint="eastAsia" w:ascii="宋体" w:hAnsi="宋体"/>
          <w:b/>
          <w:sz w:val="24"/>
        </w:rPr>
      </w:pPr>
      <w:r>
        <w:rPr>
          <w:rFonts w:hint="eastAsia" w:ascii="宋体" w:hAnsi="宋体"/>
          <w:b/>
          <w:sz w:val="24"/>
        </w:rPr>
        <w:t>14.投标文件构成与格式</w:t>
      </w:r>
    </w:p>
    <w:p>
      <w:pPr>
        <w:spacing w:line="360" w:lineRule="auto"/>
        <w:ind w:firstLine="550"/>
        <w:rPr>
          <w:rFonts w:hint="eastAsia" w:ascii="宋体" w:hAnsi="宋体"/>
          <w:sz w:val="24"/>
        </w:rPr>
      </w:pPr>
      <w:bookmarkStart w:id="48" w:name="_Hlt509650345"/>
      <w:bookmarkEnd w:id="48"/>
      <w:r>
        <w:rPr>
          <w:rFonts w:hint="eastAsia" w:ascii="宋体" w:hAnsi="宋体"/>
          <w:sz w:val="24"/>
        </w:rPr>
        <w:t>14.1投标文件是对招标文件的实质性响应及承诺文件。</w:t>
      </w:r>
    </w:p>
    <w:p>
      <w:pPr>
        <w:spacing w:line="360" w:lineRule="auto"/>
        <w:ind w:firstLine="550"/>
        <w:jc w:val="left"/>
        <w:rPr>
          <w:rFonts w:hint="eastAsia" w:ascii="宋体" w:hAnsi="宋体"/>
          <w:sz w:val="24"/>
        </w:rPr>
      </w:pPr>
      <w:r>
        <w:rPr>
          <w:rFonts w:hint="eastAsia" w:ascii="宋体" w:hAnsi="宋体"/>
          <w:sz w:val="24"/>
        </w:rPr>
        <w:t>14.2投标文件内容应包括技术标、商务标。</w:t>
      </w:r>
      <w:r>
        <w:rPr>
          <w:rFonts w:hint="eastAsia" w:ascii="宋体" w:hAnsi="宋体"/>
          <w:bCs/>
          <w:sz w:val="24"/>
        </w:rPr>
        <w:t>除非注明“投标人</w:t>
      </w:r>
      <w:r>
        <w:rPr>
          <w:rFonts w:hint="eastAsia" w:ascii="宋体" w:hAnsi="宋体"/>
          <w:sz w:val="24"/>
        </w:rPr>
        <w:t>可自行制作格式”，投标文件应使用招标文件提供的格式。</w:t>
      </w:r>
    </w:p>
    <w:p>
      <w:pPr>
        <w:spacing w:line="360" w:lineRule="auto"/>
        <w:ind w:firstLine="550"/>
        <w:jc w:val="left"/>
        <w:rPr>
          <w:rFonts w:hint="eastAsia" w:ascii="宋体" w:hAnsi="宋体"/>
          <w:sz w:val="24"/>
        </w:rPr>
      </w:pPr>
      <w:r>
        <w:rPr>
          <w:rFonts w:hint="eastAsia" w:ascii="宋体" w:hAnsi="宋体"/>
          <w:sz w:val="24"/>
        </w:rPr>
        <w:t>14.3除专用术语外，投标文件以及投标人与招标人就有关投标的往来函电均应使用中文。投标人提交的支持性文件和印制的文件可以用另一种语言，但相应内容应翻译成中文，对不同文字文本投标文件的解释发生异议的，以中文文本为准。</w:t>
      </w:r>
    </w:p>
    <w:p>
      <w:pPr>
        <w:spacing w:line="360" w:lineRule="auto"/>
        <w:ind w:firstLine="550"/>
        <w:jc w:val="left"/>
        <w:rPr>
          <w:rFonts w:hint="eastAsia" w:ascii="宋体" w:hAnsi="宋体"/>
          <w:sz w:val="24"/>
        </w:rPr>
      </w:pPr>
      <w:r>
        <w:rPr>
          <w:rFonts w:hint="eastAsia" w:ascii="宋体" w:hAnsi="宋体"/>
          <w:sz w:val="24"/>
        </w:rPr>
        <w:t>14.4除非招标文件另有规定，投标文件应使用中华人民共和国法定计量单位。</w:t>
      </w:r>
    </w:p>
    <w:p>
      <w:pPr>
        <w:spacing w:line="360" w:lineRule="auto"/>
        <w:ind w:firstLine="550"/>
        <w:jc w:val="left"/>
        <w:rPr>
          <w:rFonts w:hint="eastAsia" w:ascii="宋体" w:hAnsi="宋体"/>
          <w:sz w:val="24"/>
        </w:rPr>
      </w:pPr>
      <w:r>
        <w:rPr>
          <w:rFonts w:hint="eastAsia" w:ascii="宋体" w:hAnsi="宋体"/>
          <w:sz w:val="24"/>
        </w:rPr>
        <w:t>14.5除非招标文件另有规定，投标文件应使用人民币填报所有报价。允许以多种货币报价的，或涉及合同金额等计算的，均按照中国银行在开标日公布的汇率中间价换算成人民币。公司注册资本为外币，须折算成人民币的，按照公司成立日期当日(以营业执照注明的成立日期为准）中国人民银行公布的汇率的中间价计算（投标人应提供成立日期当日中国人民银行公布的汇率的中间价作为参考）。</w:t>
      </w:r>
    </w:p>
    <w:p>
      <w:pPr>
        <w:spacing w:line="360" w:lineRule="auto"/>
        <w:ind w:firstLine="550"/>
        <w:jc w:val="left"/>
        <w:rPr>
          <w:rFonts w:hint="eastAsia" w:ascii="宋体" w:hAnsi="宋体"/>
          <w:sz w:val="24"/>
        </w:rPr>
      </w:pPr>
      <w:r>
        <w:rPr>
          <w:rFonts w:hint="eastAsia" w:ascii="宋体" w:hAnsi="宋体"/>
          <w:sz w:val="24"/>
        </w:rPr>
        <w:t>14.6投标人资质证书（或资格证明）处于年检、换证、升级、变更等期间，除非法律法规或发证机构有书面材料明确表明投标人资质（或资格)有效，否则一律不予认可。</w:t>
      </w:r>
    </w:p>
    <w:p>
      <w:pPr>
        <w:spacing w:line="360" w:lineRule="auto"/>
        <w:ind w:firstLine="550"/>
        <w:jc w:val="left"/>
        <w:rPr>
          <w:rFonts w:hint="eastAsia" w:ascii="宋体" w:hAnsi="宋体"/>
          <w:sz w:val="24"/>
        </w:rPr>
      </w:pPr>
      <w:r>
        <w:rPr>
          <w:rFonts w:hint="eastAsia" w:ascii="宋体" w:hAnsi="宋体"/>
          <w:sz w:val="24"/>
        </w:rPr>
        <w:t>14.7投标文件应编制连续页码。投标文件除特殊规格的图纸或方案、图片资料等外，均应按A4规格制作，为节约和环保，建议投标文件双面打印。</w:t>
      </w:r>
    </w:p>
    <w:p>
      <w:pPr>
        <w:spacing w:line="360" w:lineRule="auto"/>
        <w:ind w:firstLine="550"/>
        <w:jc w:val="left"/>
        <w:rPr>
          <w:rFonts w:hint="eastAsia" w:ascii="宋体" w:hAnsi="宋体"/>
          <w:sz w:val="24"/>
        </w:rPr>
      </w:pPr>
      <w:r>
        <w:rPr>
          <w:rFonts w:hint="eastAsia" w:ascii="宋体" w:hAnsi="宋体"/>
          <w:sz w:val="24"/>
        </w:rPr>
        <w:t>14.8电报、电话、传真形式的投标概不接受。</w:t>
      </w:r>
    </w:p>
    <w:p>
      <w:pPr>
        <w:spacing w:line="360" w:lineRule="auto"/>
        <w:ind w:firstLine="550"/>
        <w:jc w:val="left"/>
        <w:rPr>
          <w:rFonts w:hint="eastAsia" w:ascii="宋体" w:hAnsi="宋体"/>
          <w:sz w:val="24"/>
        </w:rPr>
      </w:pPr>
      <w:r>
        <w:rPr>
          <w:rFonts w:hint="eastAsia" w:ascii="宋体" w:hAnsi="宋体"/>
          <w:sz w:val="24"/>
        </w:rPr>
        <w:t>14.9</w:t>
      </w:r>
      <w:r>
        <w:rPr>
          <w:rFonts w:hint="eastAsia" w:ascii="宋体" w:hAnsi="宋体"/>
          <w:sz w:val="24"/>
          <w:szCs w:val="22"/>
          <w:lang w:eastAsia="zh-CN"/>
        </w:rPr>
        <w:t>安徽国翠玉艺股份有限公司</w:t>
      </w:r>
      <w:r>
        <w:rPr>
          <w:rFonts w:hint="eastAsia" w:ascii="宋体" w:hAnsi="宋体"/>
          <w:sz w:val="24"/>
        </w:rPr>
        <w:t>一律不予退还投标人的投标文件。</w:t>
      </w:r>
    </w:p>
    <w:p>
      <w:pPr>
        <w:spacing w:line="360" w:lineRule="auto"/>
        <w:ind w:firstLine="550"/>
        <w:rPr>
          <w:rFonts w:hint="eastAsia" w:ascii="宋体" w:hAnsi="宋体"/>
          <w:sz w:val="24"/>
        </w:rPr>
      </w:pPr>
      <w:r>
        <w:rPr>
          <w:rFonts w:hint="eastAsia" w:ascii="宋体" w:hAnsi="宋体"/>
          <w:b/>
          <w:sz w:val="24"/>
        </w:rPr>
        <w:t>15.报价</w:t>
      </w:r>
    </w:p>
    <w:p>
      <w:pPr>
        <w:spacing w:line="360" w:lineRule="auto"/>
        <w:ind w:firstLine="550"/>
        <w:rPr>
          <w:rFonts w:hint="eastAsia" w:ascii="宋体" w:hAnsi="宋体"/>
          <w:sz w:val="24"/>
        </w:rPr>
      </w:pPr>
      <w:r>
        <w:rPr>
          <w:rFonts w:hint="eastAsia" w:ascii="宋体" w:hAnsi="宋体"/>
          <w:sz w:val="24"/>
        </w:rPr>
        <w:t>15.1投标人应以“标段</w:t>
      </w:r>
      <w:r>
        <w:rPr>
          <w:rFonts w:ascii="宋体" w:hAnsi="宋体"/>
          <w:sz w:val="24"/>
        </w:rPr>
        <w:t>”</w:t>
      </w:r>
      <w:r>
        <w:rPr>
          <w:rFonts w:hint="eastAsia" w:ascii="宋体" w:hAnsi="宋体"/>
          <w:sz w:val="24"/>
        </w:rPr>
        <w:t>为报价的基本单位。若整个需求分为若干标段，则投标人可选择其中的部分或所有标段报价。标段内所有项目均应报价（免费赠送的除外），否则将导致投标无效。</w:t>
      </w:r>
    </w:p>
    <w:p>
      <w:pPr>
        <w:spacing w:line="360" w:lineRule="auto"/>
        <w:ind w:firstLine="550"/>
        <w:rPr>
          <w:rFonts w:hint="eastAsia" w:ascii="宋体" w:hAnsi="宋体"/>
          <w:sz w:val="24"/>
        </w:rPr>
      </w:pPr>
      <w:r>
        <w:rPr>
          <w:rFonts w:hint="eastAsia" w:ascii="宋体" w:hAnsi="宋体"/>
          <w:sz w:val="24"/>
        </w:rPr>
        <w:t>15.2投标人的报价应包含所投服务、保险、税费、验收和交付后约定期限内免费服务等工作所发生的一切应有费用。投标报价为签订合同的依据。</w:t>
      </w:r>
    </w:p>
    <w:p>
      <w:pPr>
        <w:spacing w:line="360" w:lineRule="auto"/>
        <w:ind w:firstLine="550"/>
        <w:rPr>
          <w:rFonts w:hint="eastAsia" w:ascii="宋体" w:hAnsi="宋体"/>
          <w:sz w:val="24"/>
        </w:rPr>
      </w:pPr>
      <w:r>
        <w:rPr>
          <w:rFonts w:hint="eastAsia" w:ascii="宋体" w:hAnsi="宋体"/>
          <w:sz w:val="24"/>
        </w:rPr>
        <w:t>15.3报价应当低于</w:t>
      </w:r>
      <w:r>
        <w:rPr>
          <w:rFonts w:ascii="宋体" w:hAnsi="宋体"/>
          <w:sz w:val="24"/>
        </w:rPr>
        <w:t>同类服务的市场平均价格。</w:t>
      </w:r>
      <w:r>
        <w:rPr>
          <w:rFonts w:hint="eastAsia" w:ascii="宋体" w:hAnsi="宋体"/>
          <w:sz w:val="24"/>
        </w:rPr>
        <w:t>除非招标文件另有规定，投标报价均不得高于招标文件（公告）列明的控制价、财政预算、项目概算。</w:t>
      </w:r>
    </w:p>
    <w:p>
      <w:pPr>
        <w:spacing w:line="360" w:lineRule="auto"/>
        <w:ind w:firstLine="550"/>
        <w:rPr>
          <w:rFonts w:hint="eastAsia" w:ascii="宋体" w:hAnsi="宋体"/>
          <w:sz w:val="24"/>
        </w:rPr>
      </w:pPr>
      <w:r>
        <w:rPr>
          <w:rFonts w:hint="eastAsia" w:ascii="宋体" w:hAnsi="宋体"/>
          <w:sz w:val="24"/>
        </w:rPr>
        <w:t>15.4除非招标文件另有规定，每一标段只允许有一个最终报价，任何有选择的报价或替代方案将导致投标无效。</w:t>
      </w:r>
    </w:p>
    <w:p>
      <w:pPr>
        <w:spacing w:line="360" w:lineRule="auto"/>
        <w:ind w:firstLine="550"/>
        <w:rPr>
          <w:rFonts w:hint="eastAsia" w:ascii="宋体" w:hAnsi="宋体"/>
          <w:sz w:val="24"/>
        </w:rPr>
      </w:pPr>
      <w:r>
        <w:rPr>
          <w:rFonts w:hint="eastAsia" w:ascii="宋体" w:hAnsi="宋体"/>
          <w:sz w:val="24"/>
        </w:rPr>
        <w:t>15.5 除非招标文件另有规定，报价应精确到小数点后两位。</w:t>
      </w:r>
    </w:p>
    <w:p>
      <w:pPr>
        <w:spacing w:line="360" w:lineRule="auto"/>
        <w:ind w:firstLine="550"/>
        <w:rPr>
          <w:rFonts w:hint="eastAsia" w:ascii="宋体" w:hAnsi="宋体"/>
          <w:sz w:val="24"/>
        </w:rPr>
      </w:pPr>
      <w:r>
        <w:rPr>
          <w:rFonts w:hint="eastAsia" w:ascii="宋体" w:hAnsi="宋体"/>
          <w:sz w:val="24"/>
        </w:rPr>
        <w:t>15.6除政策性文件规定以外，投标人所报价格在合同实施期间不因市场变化因素而变动。</w:t>
      </w:r>
    </w:p>
    <w:p>
      <w:pPr>
        <w:spacing w:line="360" w:lineRule="auto"/>
        <w:ind w:firstLine="549"/>
        <w:rPr>
          <w:rFonts w:hint="eastAsia" w:ascii="宋体" w:hAnsi="宋体"/>
          <w:b/>
          <w:bCs/>
          <w:sz w:val="24"/>
        </w:rPr>
      </w:pPr>
      <w:r>
        <w:rPr>
          <w:rFonts w:hint="eastAsia" w:ascii="宋体" w:hAnsi="宋体"/>
          <w:b/>
          <w:bCs/>
          <w:sz w:val="24"/>
        </w:rPr>
        <w:t>16.投标内容填写及说明</w:t>
      </w:r>
    </w:p>
    <w:p>
      <w:pPr>
        <w:spacing w:line="360" w:lineRule="auto"/>
        <w:ind w:firstLine="549"/>
        <w:rPr>
          <w:rFonts w:hint="eastAsia" w:ascii="宋体" w:hAnsi="宋体"/>
          <w:sz w:val="24"/>
        </w:rPr>
      </w:pPr>
      <w:r>
        <w:rPr>
          <w:rFonts w:hint="eastAsia" w:ascii="宋体" w:hAnsi="宋体"/>
          <w:sz w:val="24"/>
        </w:rPr>
        <w:t>16.1投标文件须对招标文件载明的投标资格、技术、资信、服务、报价等全部要求和条件做出实质性和完整的响应，如果投标文件填报的内容资料不详，或没有提供招标文件中所要求的全部资料、证明及数据，将导致投标无效。</w:t>
      </w:r>
    </w:p>
    <w:p>
      <w:pPr>
        <w:spacing w:line="360" w:lineRule="auto"/>
        <w:ind w:firstLine="549"/>
        <w:rPr>
          <w:rFonts w:hint="eastAsia" w:ascii="宋体" w:hAnsi="宋体"/>
          <w:sz w:val="24"/>
        </w:rPr>
      </w:pPr>
      <w:r>
        <w:rPr>
          <w:rFonts w:hint="eastAsia" w:ascii="宋体" w:hAnsi="宋体"/>
          <w:sz w:val="24"/>
        </w:rPr>
        <w:t>16.2投标人应在投标文件中提交招标文件要求的有关证明文件，作为其投标文件的一部分。</w:t>
      </w:r>
    </w:p>
    <w:p>
      <w:pPr>
        <w:spacing w:line="360" w:lineRule="auto"/>
        <w:ind w:firstLine="549"/>
        <w:rPr>
          <w:rFonts w:hint="eastAsia" w:ascii="宋体" w:hAnsi="宋体"/>
          <w:sz w:val="24"/>
        </w:rPr>
      </w:pPr>
      <w:r>
        <w:rPr>
          <w:rFonts w:hint="eastAsia" w:ascii="宋体" w:hAnsi="宋体"/>
          <w:sz w:val="24"/>
        </w:rPr>
        <w:t>16</w:t>
      </w:r>
      <w:r>
        <w:rPr>
          <w:rFonts w:ascii="宋体" w:hAnsi="宋体"/>
          <w:sz w:val="24"/>
        </w:rPr>
        <w:t>.</w:t>
      </w:r>
      <w:r>
        <w:rPr>
          <w:rFonts w:hint="eastAsia" w:ascii="宋体" w:hAnsi="宋体"/>
          <w:sz w:val="24"/>
        </w:rPr>
        <w:t>3投标人应在投标文件中提交招标文件要求的所有服务的合格性以及符合招标文件规定的证明文件（可以是手册、图纸和资料）等，并作为其投标文件的一部分。包括：</w:t>
      </w:r>
    </w:p>
    <w:p>
      <w:pPr>
        <w:spacing w:line="360" w:lineRule="auto"/>
        <w:ind w:firstLine="549"/>
        <w:rPr>
          <w:rFonts w:hint="eastAsia" w:ascii="宋体" w:hAnsi="宋体"/>
          <w:sz w:val="24"/>
        </w:rPr>
      </w:pPr>
      <w:r>
        <w:rPr>
          <w:rFonts w:hint="eastAsia" w:ascii="宋体" w:hAnsi="宋体"/>
          <w:sz w:val="24"/>
        </w:rPr>
        <w:t>16.3.1服务主要内容的详细描述；</w:t>
      </w:r>
    </w:p>
    <w:p>
      <w:pPr>
        <w:spacing w:line="360" w:lineRule="auto"/>
        <w:ind w:firstLine="549"/>
        <w:rPr>
          <w:rFonts w:hint="eastAsia" w:ascii="宋体" w:hAnsi="宋体"/>
          <w:sz w:val="24"/>
        </w:rPr>
      </w:pPr>
      <w:r>
        <w:rPr>
          <w:rFonts w:ascii="宋体" w:hAnsi="宋体"/>
          <w:sz w:val="24"/>
        </w:rPr>
        <w:t>1</w:t>
      </w:r>
      <w:r>
        <w:rPr>
          <w:rFonts w:hint="eastAsia" w:ascii="宋体" w:hAnsi="宋体"/>
          <w:sz w:val="24"/>
        </w:rPr>
        <w:t>6</w:t>
      </w:r>
      <w:r>
        <w:rPr>
          <w:rFonts w:ascii="宋体" w:hAnsi="宋体"/>
          <w:sz w:val="24"/>
        </w:rPr>
        <w:t>.</w:t>
      </w:r>
      <w:r>
        <w:rPr>
          <w:rFonts w:hint="eastAsia" w:ascii="宋体" w:hAnsi="宋体"/>
          <w:sz w:val="24"/>
        </w:rPr>
        <w:t>4投标文件应字迹清楚、编排有序、内容齐全、不得涂改或增删。如有错漏处必须修改，应在修改处加盖投标人公章。</w:t>
      </w:r>
    </w:p>
    <w:p>
      <w:pPr>
        <w:spacing w:line="360" w:lineRule="auto"/>
        <w:ind w:firstLine="549"/>
        <w:rPr>
          <w:rFonts w:hint="eastAsia" w:ascii="宋体" w:hAnsi="宋体"/>
          <w:b/>
          <w:sz w:val="24"/>
        </w:rPr>
      </w:pPr>
      <w:r>
        <w:rPr>
          <w:rFonts w:hint="eastAsia" w:ascii="宋体" w:hAnsi="宋体"/>
          <w:b/>
          <w:sz w:val="24"/>
        </w:rPr>
        <w:t>16.5 注意：技术标中不得出现任何有关商务报价的内容。</w:t>
      </w:r>
    </w:p>
    <w:p>
      <w:pPr>
        <w:spacing w:line="360" w:lineRule="auto"/>
        <w:ind w:firstLine="550"/>
        <w:rPr>
          <w:rFonts w:hint="eastAsia" w:ascii="宋体" w:hAnsi="宋体"/>
          <w:b/>
          <w:sz w:val="24"/>
        </w:rPr>
      </w:pPr>
      <w:r>
        <w:rPr>
          <w:rFonts w:hint="eastAsia" w:ascii="宋体" w:hAnsi="宋体"/>
          <w:b/>
          <w:sz w:val="24"/>
        </w:rPr>
        <w:t>17.投标有效期</w:t>
      </w:r>
    </w:p>
    <w:p>
      <w:pPr>
        <w:spacing w:line="360" w:lineRule="auto"/>
        <w:ind w:firstLine="550"/>
        <w:rPr>
          <w:rFonts w:hint="eastAsia" w:ascii="宋体" w:hAnsi="宋体"/>
          <w:sz w:val="24"/>
        </w:rPr>
      </w:pPr>
      <w:r>
        <w:rPr>
          <w:rFonts w:hint="eastAsia" w:ascii="宋体" w:hAnsi="宋体"/>
          <w:sz w:val="24"/>
        </w:rPr>
        <w:t>18.1为</w:t>
      </w:r>
      <w:r>
        <w:rPr>
          <w:rFonts w:ascii="宋体" w:hAnsi="宋体"/>
          <w:sz w:val="24"/>
        </w:rPr>
        <w:t>保证</w:t>
      </w:r>
      <w:r>
        <w:rPr>
          <w:rFonts w:hint="eastAsia" w:ascii="宋体" w:hAnsi="宋体"/>
          <w:sz w:val="24"/>
        </w:rPr>
        <w:t>招标人</w:t>
      </w:r>
      <w:r>
        <w:rPr>
          <w:rFonts w:ascii="宋体" w:hAnsi="宋体"/>
          <w:sz w:val="24"/>
        </w:rPr>
        <w:t>有足够的时间完成评标和与中标人签订合同</w:t>
      </w:r>
      <w:r>
        <w:rPr>
          <w:rFonts w:hint="eastAsia" w:ascii="宋体" w:hAnsi="宋体"/>
          <w:sz w:val="24"/>
        </w:rPr>
        <w:t>，规定投标有效期。投标有效期期限见投标人须知前附表。</w:t>
      </w:r>
    </w:p>
    <w:p>
      <w:pPr>
        <w:spacing w:line="360" w:lineRule="auto"/>
        <w:ind w:firstLine="550"/>
        <w:rPr>
          <w:rFonts w:hint="eastAsia" w:ascii="宋体" w:hAnsi="宋体"/>
          <w:sz w:val="24"/>
        </w:rPr>
      </w:pPr>
      <w:r>
        <w:rPr>
          <w:rFonts w:hint="eastAsia" w:ascii="宋体" w:hAnsi="宋体"/>
          <w:sz w:val="24"/>
        </w:rPr>
        <w:t>18.2在投标有效期内，投标人的投标保持有效，投标人不得要求撤销或修改其投标文件。</w:t>
      </w:r>
    </w:p>
    <w:p>
      <w:pPr>
        <w:spacing w:line="360" w:lineRule="auto"/>
        <w:ind w:firstLine="550"/>
        <w:rPr>
          <w:rFonts w:hint="eastAsia" w:ascii="宋体" w:hAnsi="宋体"/>
          <w:sz w:val="24"/>
        </w:rPr>
      </w:pPr>
      <w:r>
        <w:rPr>
          <w:rFonts w:hint="eastAsia" w:ascii="宋体" w:hAnsi="宋体"/>
          <w:sz w:val="24"/>
        </w:rPr>
        <w:t>18.3</w:t>
      </w:r>
      <w:r>
        <w:rPr>
          <w:rFonts w:ascii="宋体" w:hAnsi="宋体"/>
          <w:sz w:val="24"/>
        </w:rPr>
        <w:t>投标有效期从投标截止日起计算。</w:t>
      </w:r>
    </w:p>
    <w:p>
      <w:pPr>
        <w:spacing w:line="360" w:lineRule="auto"/>
        <w:ind w:firstLine="550"/>
        <w:rPr>
          <w:rFonts w:hint="eastAsia" w:ascii="宋体" w:hAnsi="宋体"/>
          <w:sz w:val="24"/>
        </w:rPr>
      </w:pPr>
      <w:r>
        <w:rPr>
          <w:rFonts w:hint="eastAsia" w:ascii="宋体" w:hAnsi="宋体"/>
          <w:sz w:val="24"/>
        </w:rPr>
        <w:t>18.4在原定投标有效期满之前，如果出现特殊情况，</w:t>
      </w:r>
      <w:r>
        <w:rPr>
          <w:rFonts w:hint="eastAsia" w:ascii="宋体" w:hAnsi="宋体"/>
          <w:sz w:val="24"/>
          <w:szCs w:val="22"/>
          <w:lang w:eastAsia="zh-CN"/>
        </w:rPr>
        <w:t>安徽国翠玉艺股份有限公司</w:t>
      </w:r>
      <w:r>
        <w:rPr>
          <w:rFonts w:hint="eastAsia" w:ascii="宋体" w:hAnsi="宋体"/>
          <w:sz w:val="24"/>
        </w:rPr>
        <w:t>可以书面形式提出延长投标有效期的要求。投标人以书面形式予以答复，投标人可以拒绝这种要求而不被没收投标保证金。同意延长投标有效期的投标人不允许修改其投标文件的实质性内容，且需要相应地延长投标保证金的有效期。</w:t>
      </w:r>
    </w:p>
    <w:p>
      <w:pPr>
        <w:spacing w:line="360" w:lineRule="auto"/>
        <w:ind w:firstLine="550"/>
        <w:rPr>
          <w:rFonts w:hint="eastAsia" w:ascii="宋体" w:hAnsi="宋体"/>
          <w:b/>
          <w:sz w:val="24"/>
        </w:rPr>
      </w:pPr>
      <w:r>
        <w:rPr>
          <w:rFonts w:hint="eastAsia" w:ascii="宋体" w:hAnsi="宋体"/>
          <w:b/>
          <w:sz w:val="24"/>
        </w:rPr>
        <w:t>19.投标文件份数和签署</w:t>
      </w:r>
    </w:p>
    <w:p>
      <w:pPr>
        <w:spacing w:line="360" w:lineRule="auto"/>
        <w:ind w:firstLine="550"/>
        <w:rPr>
          <w:rFonts w:hint="eastAsia" w:ascii="宋体" w:hAnsi="宋体"/>
          <w:sz w:val="24"/>
        </w:rPr>
      </w:pPr>
      <w:r>
        <w:rPr>
          <w:rFonts w:hint="eastAsia" w:ascii="宋体" w:hAnsi="宋体"/>
          <w:sz w:val="24"/>
        </w:rPr>
        <w:t>19</w:t>
      </w:r>
      <w:r>
        <w:rPr>
          <w:rFonts w:ascii="宋体" w:hAnsi="宋体"/>
          <w:sz w:val="24"/>
        </w:rPr>
        <w:t>.1</w:t>
      </w:r>
      <w:r>
        <w:rPr>
          <w:rFonts w:hint="eastAsia" w:ascii="宋体" w:hAnsi="宋体"/>
          <w:sz w:val="24"/>
        </w:rPr>
        <w:t xml:space="preserve"> 投标人应按照投标人须知前附表的要求准备投标文件，并在封面上注明“正本”和“副本”字样。投标文件的正本与副本如有不一致之处，以正本为准。</w:t>
      </w:r>
    </w:p>
    <w:p>
      <w:pPr>
        <w:spacing w:line="360" w:lineRule="auto"/>
        <w:ind w:firstLine="550"/>
        <w:rPr>
          <w:rFonts w:hint="eastAsia" w:ascii="宋体" w:hAnsi="宋体"/>
          <w:sz w:val="24"/>
        </w:rPr>
      </w:pPr>
      <w:r>
        <w:rPr>
          <w:rFonts w:hint="eastAsia" w:ascii="宋体" w:hAnsi="宋体"/>
          <w:sz w:val="24"/>
        </w:rPr>
        <w:t>19</w:t>
      </w:r>
      <w:r>
        <w:rPr>
          <w:rFonts w:ascii="宋体" w:hAnsi="宋体"/>
          <w:sz w:val="24"/>
        </w:rPr>
        <w:t>.2</w:t>
      </w:r>
      <w:r>
        <w:rPr>
          <w:rFonts w:hint="eastAsia" w:ascii="宋体" w:hAnsi="宋体"/>
          <w:sz w:val="24"/>
        </w:rPr>
        <w:t xml:space="preserve"> 投标文件的正本和所有的副本均需打印（热敏纸无效）。依招标文件要求加盖投标人公章。</w:t>
      </w:r>
    </w:p>
    <w:p>
      <w:pPr>
        <w:spacing w:line="360" w:lineRule="auto"/>
        <w:ind w:firstLine="550"/>
        <w:rPr>
          <w:rFonts w:hint="eastAsia" w:ascii="宋体" w:hAnsi="宋体"/>
          <w:sz w:val="28"/>
        </w:rPr>
      </w:pPr>
      <w:r>
        <w:rPr>
          <w:rFonts w:hint="eastAsia" w:ascii="宋体" w:hAnsi="宋体"/>
          <w:sz w:val="24"/>
        </w:rPr>
        <w:t>19.3 招标人保留要求中标人另行提供其投标文件电子版的权利。。</w:t>
      </w:r>
    </w:p>
    <w:p>
      <w:pPr>
        <w:pStyle w:val="5"/>
        <w:spacing w:line="360" w:lineRule="auto"/>
        <w:ind w:firstLine="628"/>
        <w:rPr>
          <w:rFonts w:hint="eastAsia" w:hAnsi="宋体"/>
          <w:sz w:val="28"/>
        </w:rPr>
      </w:pPr>
      <w:bookmarkStart w:id="49" w:name="_Hlt509650572"/>
      <w:bookmarkEnd w:id="49"/>
      <w:bookmarkStart w:id="50" w:name="_Toc504073355"/>
      <w:r>
        <w:rPr>
          <w:rFonts w:hint="eastAsia" w:hAnsi="宋体"/>
          <w:sz w:val="28"/>
        </w:rPr>
        <w:t>四．投标文件的递交</w:t>
      </w:r>
      <w:bookmarkEnd w:id="50"/>
      <w:bookmarkStart w:id="51" w:name="_Hlt509649414"/>
      <w:bookmarkEnd w:id="51"/>
    </w:p>
    <w:p>
      <w:pPr>
        <w:spacing w:line="360" w:lineRule="auto"/>
        <w:ind w:firstLine="550"/>
        <w:rPr>
          <w:rFonts w:hint="eastAsia" w:ascii="宋体" w:hAnsi="宋体"/>
          <w:b/>
          <w:sz w:val="24"/>
        </w:rPr>
      </w:pPr>
      <w:r>
        <w:rPr>
          <w:rFonts w:hint="eastAsia" w:ascii="宋体" w:hAnsi="宋体"/>
          <w:b/>
          <w:sz w:val="24"/>
        </w:rPr>
        <w:t>20.投标文件的密封和标记</w:t>
      </w:r>
    </w:p>
    <w:p>
      <w:pPr>
        <w:spacing w:line="360" w:lineRule="auto"/>
        <w:ind w:firstLine="550"/>
        <w:rPr>
          <w:rFonts w:hint="eastAsia" w:ascii="宋体" w:hAnsi="宋体"/>
          <w:b/>
          <w:sz w:val="24"/>
        </w:rPr>
      </w:pPr>
      <w:r>
        <w:rPr>
          <w:rFonts w:hint="eastAsia" w:ascii="宋体" w:hAnsi="宋体"/>
          <w:sz w:val="24"/>
        </w:rPr>
        <w:t>20.1投标文件应装订成册并封装，并在密封袋上标注项目名称、项目编号、投标人名称及包别。</w:t>
      </w:r>
    </w:p>
    <w:p>
      <w:pPr>
        <w:spacing w:line="360" w:lineRule="auto"/>
        <w:ind w:firstLine="550"/>
        <w:rPr>
          <w:rFonts w:hint="eastAsia" w:ascii="宋体" w:hAnsi="宋体"/>
          <w:sz w:val="24"/>
        </w:rPr>
      </w:pPr>
      <w:bookmarkStart w:id="52" w:name="_Hlt509650747"/>
      <w:bookmarkEnd w:id="52"/>
      <w:r>
        <w:rPr>
          <w:rFonts w:hint="eastAsia" w:ascii="宋体" w:hAnsi="宋体"/>
          <w:sz w:val="24"/>
        </w:rPr>
        <w:t>20.2建议投标人将商务标、技术标的正本分别单独封装，商务标的全部副本一起封装，技术标的全部副本一起封装。</w:t>
      </w:r>
    </w:p>
    <w:p>
      <w:pPr>
        <w:spacing w:line="360" w:lineRule="auto"/>
        <w:ind w:firstLine="550"/>
        <w:rPr>
          <w:rFonts w:hint="eastAsia" w:ascii="宋体" w:hAnsi="宋体"/>
          <w:sz w:val="24"/>
        </w:rPr>
      </w:pPr>
      <w:r>
        <w:rPr>
          <w:rFonts w:hint="eastAsia" w:ascii="宋体" w:hAnsi="宋体"/>
          <w:sz w:val="24"/>
        </w:rPr>
        <w:t>20.3应采用A4纸装订成册，并按招标文件格式要求加盖投标人公章。</w:t>
      </w:r>
    </w:p>
    <w:p>
      <w:pPr>
        <w:spacing w:line="360" w:lineRule="auto"/>
        <w:ind w:firstLine="550"/>
        <w:rPr>
          <w:rFonts w:hint="eastAsia" w:ascii="宋体" w:hAnsi="宋体"/>
          <w:sz w:val="24"/>
        </w:rPr>
      </w:pPr>
      <w:r>
        <w:rPr>
          <w:rFonts w:hint="eastAsia" w:ascii="宋体" w:hAnsi="宋体"/>
          <w:sz w:val="24"/>
        </w:rPr>
        <w:t>20.4技术标、商务标须分别封装。并在封标袋上注明项目名称、项目编号、投标人全称、技术标、商务标、正本（副本</w:t>
      </w:r>
      <w:r>
        <w:rPr>
          <w:rFonts w:ascii="宋体" w:hAnsi="宋体"/>
          <w:sz w:val="24"/>
        </w:rPr>
        <w:t>）</w:t>
      </w:r>
      <w:r>
        <w:rPr>
          <w:rFonts w:hint="eastAsia" w:ascii="宋体" w:hAnsi="宋体"/>
          <w:sz w:val="24"/>
        </w:rPr>
        <w:t>字样并加盖投标人公章。</w:t>
      </w:r>
    </w:p>
    <w:p>
      <w:pPr>
        <w:spacing w:line="360" w:lineRule="auto"/>
        <w:ind w:firstLine="550"/>
        <w:rPr>
          <w:rFonts w:hint="eastAsia" w:ascii="宋体" w:hAnsi="宋体"/>
          <w:sz w:val="24"/>
        </w:rPr>
      </w:pPr>
      <w:r>
        <w:rPr>
          <w:rFonts w:hint="eastAsia" w:ascii="宋体" w:hAnsi="宋体"/>
          <w:sz w:val="24"/>
        </w:rPr>
        <w:t>20.5如果未按规定封装或加写标记，利信公司将不承担投标文件错放或提前开封的责任，并可能导致投标无效。</w:t>
      </w:r>
    </w:p>
    <w:p>
      <w:pPr>
        <w:spacing w:line="360" w:lineRule="auto"/>
        <w:ind w:firstLine="550"/>
        <w:rPr>
          <w:rFonts w:hint="eastAsia" w:ascii="宋体" w:hAnsi="宋体"/>
          <w:b/>
          <w:sz w:val="24"/>
        </w:rPr>
      </w:pPr>
      <w:r>
        <w:rPr>
          <w:rFonts w:hint="eastAsia" w:ascii="宋体" w:hAnsi="宋体"/>
          <w:b/>
          <w:sz w:val="24"/>
        </w:rPr>
        <w:t xml:space="preserve">21.投标文件的递交 </w:t>
      </w:r>
    </w:p>
    <w:p>
      <w:pPr>
        <w:spacing w:line="360" w:lineRule="auto"/>
        <w:ind w:firstLine="550"/>
        <w:rPr>
          <w:rFonts w:hint="eastAsia" w:ascii="宋体" w:hAnsi="宋体"/>
          <w:sz w:val="24"/>
        </w:rPr>
      </w:pPr>
      <w:r>
        <w:rPr>
          <w:rFonts w:hint="eastAsia" w:ascii="宋体" w:hAnsi="宋体"/>
          <w:sz w:val="24"/>
        </w:rPr>
        <w:t>21.1投标人应当在招标文件要求提交投标文件的截止时间前，将投标文件密封送达投标人须知前附表指定开标地点。</w:t>
      </w:r>
    </w:p>
    <w:p>
      <w:pPr>
        <w:spacing w:line="360" w:lineRule="auto"/>
        <w:ind w:firstLine="550"/>
        <w:rPr>
          <w:rFonts w:hint="eastAsia" w:ascii="宋体" w:hAnsi="宋体"/>
          <w:sz w:val="24"/>
        </w:rPr>
      </w:pPr>
      <w:r>
        <w:rPr>
          <w:rFonts w:hint="eastAsia" w:ascii="宋体" w:hAnsi="宋体"/>
          <w:sz w:val="24"/>
        </w:rPr>
        <w:t>21.2在招标文件要求提交投标文件的截止时间之后送达的投标文件，为无效投标文件，利信公司将拒绝接收。</w:t>
      </w:r>
    </w:p>
    <w:p>
      <w:pPr>
        <w:spacing w:line="360" w:lineRule="auto"/>
        <w:ind w:firstLine="550"/>
        <w:rPr>
          <w:rFonts w:hint="eastAsia" w:ascii="宋体" w:hAnsi="宋体"/>
          <w:b/>
          <w:sz w:val="24"/>
        </w:rPr>
      </w:pPr>
      <w:r>
        <w:rPr>
          <w:rFonts w:hint="eastAsia" w:ascii="宋体" w:hAnsi="宋体"/>
          <w:b/>
          <w:sz w:val="24"/>
        </w:rPr>
        <w:t>22.投标文件的修改和撤回</w:t>
      </w:r>
    </w:p>
    <w:p>
      <w:pPr>
        <w:spacing w:line="360" w:lineRule="auto"/>
        <w:ind w:firstLine="550"/>
        <w:rPr>
          <w:rFonts w:hint="eastAsia" w:ascii="宋体" w:hAnsi="宋体"/>
          <w:sz w:val="24"/>
        </w:rPr>
      </w:pPr>
      <w:r>
        <w:rPr>
          <w:rFonts w:hint="eastAsia" w:ascii="宋体" w:hAnsi="宋体"/>
          <w:sz w:val="24"/>
        </w:rPr>
        <w:t>22</w:t>
      </w:r>
      <w:r>
        <w:rPr>
          <w:rFonts w:ascii="宋体" w:hAnsi="宋体"/>
          <w:sz w:val="24"/>
        </w:rPr>
        <w:t>.</w:t>
      </w:r>
      <w:r>
        <w:rPr>
          <w:rFonts w:hint="eastAsia" w:ascii="宋体" w:hAnsi="宋体"/>
          <w:sz w:val="24"/>
        </w:rPr>
        <w:t>1 投标人在递交投标文件后，可以修改或撤回其投标，但这种修改和撤回，必须在规定的投标截止日期前，并以书面形式通知利信公司。在投标截止时间后，投标人不得再要求修改或撤回其投标文件。</w:t>
      </w:r>
    </w:p>
    <w:p>
      <w:pPr>
        <w:spacing w:line="360" w:lineRule="auto"/>
        <w:ind w:firstLine="550"/>
        <w:rPr>
          <w:rFonts w:hint="eastAsia" w:ascii="宋体" w:hAnsi="宋体"/>
          <w:sz w:val="28"/>
        </w:rPr>
      </w:pPr>
      <w:r>
        <w:rPr>
          <w:rFonts w:hint="eastAsia" w:ascii="宋体" w:hAnsi="宋体"/>
          <w:sz w:val="24"/>
        </w:rPr>
        <w:t>22</w:t>
      </w:r>
      <w:r>
        <w:rPr>
          <w:rFonts w:ascii="宋体" w:hAnsi="宋体"/>
          <w:sz w:val="24"/>
        </w:rPr>
        <w:t>.2</w:t>
      </w:r>
      <w:r>
        <w:rPr>
          <w:rFonts w:hint="eastAsia" w:ascii="宋体" w:hAnsi="宋体"/>
          <w:sz w:val="24"/>
        </w:rPr>
        <w:t xml:space="preserve"> 投标人的修改书或撤回通知书，应按规定进行编制、密封、标记和递交，且在内层信封上标明“修改”或“撤回”字样。</w:t>
      </w:r>
    </w:p>
    <w:p>
      <w:pPr>
        <w:pStyle w:val="5"/>
        <w:spacing w:line="360" w:lineRule="auto"/>
        <w:ind w:firstLine="628"/>
        <w:rPr>
          <w:rFonts w:hint="eastAsia" w:hAnsi="宋体"/>
          <w:sz w:val="28"/>
        </w:rPr>
      </w:pPr>
      <w:bookmarkStart w:id="53" w:name="_Hlt509649294"/>
      <w:bookmarkEnd w:id="53"/>
      <w:bookmarkStart w:id="54" w:name="_Toc504073356"/>
      <w:r>
        <w:rPr>
          <w:rFonts w:hint="eastAsia" w:hAnsi="宋体"/>
          <w:sz w:val="28"/>
        </w:rPr>
        <w:t>五．开标与评标</w:t>
      </w:r>
      <w:bookmarkEnd w:id="54"/>
    </w:p>
    <w:p>
      <w:pPr>
        <w:spacing w:line="360" w:lineRule="auto"/>
        <w:ind w:firstLine="550"/>
        <w:rPr>
          <w:rFonts w:hint="eastAsia" w:ascii="宋体" w:hAnsi="宋体"/>
          <w:b/>
          <w:sz w:val="24"/>
        </w:rPr>
      </w:pPr>
      <w:r>
        <w:rPr>
          <w:rFonts w:hint="eastAsia" w:ascii="宋体" w:hAnsi="宋体"/>
          <w:b/>
          <w:sz w:val="24"/>
        </w:rPr>
        <w:t>23.开标</w:t>
      </w:r>
    </w:p>
    <w:p>
      <w:pPr>
        <w:spacing w:line="360" w:lineRule="auto"/>
        <w:ind w:firstLine="550"/>
        <w:rPr>
          <w:rFonts w:hint="eastAsia" w:ascii="宋体" w:hAnsi="宋体"/>
          <w:sz w:val="24"/>
        </w:rPr>
      </w:pPr>
      <w:r>
        <w:rPr>
          <w:rFonts w:hint="eastAsia" w:ascii="宋体" w:hAnsi="宋体"/>
          <w:sz w:val="24"/>
        </w:rPr>
        <w:t>23.1</w:t>
      </w:r>
      <w:r>
        <w:rPr>
          <w:rFonts w:hint="eastAsia" w:ascii="宋体" w:hAnsi="宋体"/>
          <w:sz w:val="24"/>
          <w:szCs w:val="22"/>
          <w:lang w:eastAsia="zh-CN"/>
        </w:rPr>
        <w:t>安徽国翠玉艺股份有限公司</w:t>
      </w:r>
      <w:r>
        <w:rPr>
          <w:rFonts w:hint="eastAsia" w:ascii="宋体" w:hAnsi="宋体"/>
          <w:sz w:val="24"/>
        </w:rPr>
        <w:t>将在投标</w:t>
      </w:r>
      <w:bookmarkStart w:id="55" w:name="_Hlt509649432"/>
      <w:bookmarkEnd w:id="55"/>
      <w:r>
        <w:rPr>
          <w:rFonts w:hint="eastAsia" w:ascii="宋体" w:hAnsi="宋体"/>
          <w:sz w:val="24"/>
        </w:rPr>
        <w:t>人须知前附表规定的时间和地点组织公开开标。投标人授权代表应携带身份证明参加并签到。</w:t>
      </w:r>
    </w:p>
    <w:p>
      <w:pPr>
        <w:spacing w:line="360" w:lineRule="auto"/>
        <w:ind w:firstLine="550"/>
        <w:rPr>
          <w:rFonts w:hint="eastAsia" w:ascii="宋体" w:hAnsi="宋体"/>
          <w:sz w:val="24"/>
        </w:rPr>
      </w:pPr>
      <w:r>
        <w:rPr>
          <w:rFonts w:hint="eastAsia" w:ascii="宋体" w:hAnsi="宋体"/>
          <w:sz w:val="24"/>
        </w:rPr>
        <w:t>23.</w:t>
      </w:r>
      <w:r>
        <w:rPr>
          <w:rFonts w:hint="eastAsia" w:ascii="宋体" w:hAnsi="宋体"/>
          <w:bCs/>
          <w:sz w:val="24"/>
        </w:rPr>
        <w:t>2开标前，</w:t>
      </w:r>
      <w:r>
        <w:rPr>
          <w:rFonts w:hint="eastAsia" w:ascii="宋体" w:hAnsi="宋体"/>
          <w:sz w:val="24"/>
          <w:szCs w:val="22"/>
          <w:lang w:eastAsia="zh-CN"/>
        </w:rPr>
        <w:t>安徽国翠玉艺股份有限公司</w:t>
      </w:r>
      <w:r>
        <w:rPr>
          <w:rFonts w:hint="eastAsia" w:ascii="宋体" w:hAnsi="宋体"/>
          <w:bCs/>
          <w:sz w:val="24"/>
        </w:rPr>
        <w:t>将会同监督员或公证人员进行验标（检查投标文件密封情况），并宣布检查结果。确认无误后开标。</w:t>
      </w:r>
    </w:p>
    <w:p>
      <w:pPr>
        <w:spacing w:line="360" w:lineRule="auto"/>
        <w:ind w:firstLine="549"/>
        <w:rPr>
          <w:rFonts w:hint="eastAsia" w:ascii="宋体" w:hAnsi="宋体"/>
          <w:bCs/>
          <w:sz w:val="24"/>
        </w:rPr>
      </w:pPr>
      <w:r>
        <w:rPr>
          <w:rFonts w:hint="eastAsia" w:ascii="宋体" w:hAnsi="宋体"/>
          <w:bCs/>
          <w:sz w:val="24"/>
        </w:rPr>
        <w:t>23.3投标资格及投标文件的法律文本将由评审委员会在评标前进行审查。资格不符合招标文件要求和相关法律规定的，投标无效。</w:t>
      </w:r>
    </w:p>
    <w:p>
      <w:pPr>
        <w:spacing w:line="360" w:lineRule="auto"/>
        <w:ind w:firstLine="549"/>
        <w:rPr>
          <w:rFonts w:hint="eastAsia" w:ascii="宋体" w:hAnsi="宋体"/>
          <w:bCs/>
          <w:sz w:val="24"/>
        </w:rPr>
      </w:pPr>
      <w:r>
        <w:rPr>
          <w:rFonts w:hint="eastAsia" w:ascii="宋体" w:hAnsi="宋体"/>
          <w:bCs/>
          <w:sz w:val="24"/>
        </w:rPr>
        <w:t>23.4</w:t>
      </w:r>
      <w:r>
        <w:rPr>
          <w:rFonts w:hint="eastAsia" w:ascii="宋体" w:hAnsi="宋体"/>
          <w:bCs/>
          <w:sz w:val="24"/>
          <w:szCs w:val="24"/>
        </w:rPr>
        <w:t>评委会先对各投标人的技术标进行评审</w:t>
      </w:r>
      <w:r>
        <w:rPr>
          <w:rFonts w:hint="eastAsia" w:ascii="宋体" w:hAnsi="宋体"/>
          <w:sz w:val="24"/>
          <w:szCs w:val="24"/>
        </w:rPr>
        <w:t>，评审结束后再进行商务标开标。</w:t>
      </w:r>
    </w:p>
    <w:p>
      <w:pPr>
        <w:spacing w:line="360" w:lineRule="auto"/>
        <w:ind w:firstLine="549"/>
        <w:rPr>
          <w:rFonts w:hint="eastAsia" w:ascii="宋体" w:hAnsi="宋体"/>
          <w:bCs/>
          <w:sz w:val="24"/>
        </w:rPr>
      </w:pPr>
      <w:r>
        <w:rPr>
          <w:rFonts w:hint="eastAsia" w:ascii="宋体" w:hAnsi="宋体"/>
          <w:bCs/>
          <w:sz w:val="24"/>
        </w:rPr>
        <w:t>23.5 商务标开标时，</w:t>
      </w:r>
      <w:r>
        <w:rPr>
          <w:rFonts w:hint="eastAsia" w:ascii="宋体" w:hAnsi="宋体"/>
          <w:sz w:val="24"/>
          <w:szCs w:val="22"/>
          <w:lang w:eastAsia="zh-CN"/>
        </w:rPr>
        <w:t>安徽国翠玉艺股份有限公司</w:t>
      </w:r>
      <w:r>
        <w:rPr>
          <w:rFonts w:hint="eastAsia" w:ascii="宋体" w:hAnsi="宋体"/>
          <w:bCs/>
          <w:sz w:val="24"/>
        </w:rPr>
        <w:t>将当众宣读投标人名称、投标价格、书面修改和撤回投标的通知，以</w:t>
      </w:r>
      <w:r>
        <w:rPr>
          <w:rFonts w:hint="eastAsia" w:ascii="宋体" w:hAnsi="宋体"/>
          <w:sz w:val="24"/>
          <w:szCs w:val="22"/>
          <w:lang w:eastAsia="zh-CN"/>
        </w:rPr>
        <w:t>安徽国翠玉艺股份有限公司</w:t>
      </w:r>
      <w:r>
        <w:rPr>
          <w:rFonts w:hint="eastAsia" w:ascii="宋体" w:hAnsi="宋体"/>
          <w:bCs/>
          <w:sz w:val="24"/>
        </w:rPr>
        <w:t>认为合适的其它详细内容。只有在开标时唱出的优惠，评标时才予以考虑。</w:t>
      </w:r>
    </w:p>
    <w:p>
      <w:pPr>
        <w:spacing w:line="360" w:lineRule="auto"/>
        <w:ind w:firstLine="549"/>
        <w:rPr>
          <w:rFonts w:hint="eastAsia" w:ascii="宋体" w:hAnsi="宋体"/>
          <w:bCs/>
          <w:sz w:val="24"/>
        </w:rPr>
      </w:pPr>
      <w:r>
        <w:rPr>
          <w:rFonts w:hint="eastAsia" w:ascii="宋体" w:hAnsi="宋体"/>
          <w:bCs/>
          <w:sz w:val="24"/>
        </w:rPr>
        <w:t>23.6在评审结束前，未得到</w:t>
      </w:r>
      <w:r>
        <w:rPr>
          <w:rFonts w:hint="eastAsia" w:ascii="宋体" w:hAnsi="宋体"/>
          <w:sz w:val="24"/>
          <w:szCs w:val="22"/>
          <w:lang w:eastAsia="zh-CN"/>
        </w:rPr>
        <w:t>安徽国翠玉艺股份有限公司</w:t>
      </w:r>
      <w:r>
        <w:rPr>
          <w:rFonts w:hint="eastAsia" w:ascii="宋体" w:hAnsi="宋体"/>
          <w:bCs/>
          <w:sz w:val="24"/>
        </w:rPr>
        <w:t>允许，投标人授权代表不得离开开标现场。</w:t>
      </w:r>
    </w:p>
    <w:p>
      <w:pPr>
        <w:spacing w:line="360" w:lineRule="auto"/>
        <w:ind w:firstLine="549"/>
        <w:rPr>
          <w:rFonts w:hint="eastAsia" w:ascii="宋体" w:hAnsi="宋体"/>
          <w:b/>
          <w:sz w:val="24"/>
        </w:rPr>
      </w:pPr>
      <w:r>
        <w:rPr>
          <w:rFonts w:hint="eastAsia" w:ascii="宋体" w:hAnsi="宋体"/>
          <w:b/>
          <w:sz w:val="24"/>
        </w:rPr>
        <w:t>24.投标文件的澄清、说明或补正</w:t>
      </w:r>
    </w:p>
    <w:p>
      <w:pPr>
        <w:spacing w:line="360" w:lineRule="auto"/>
        <w:ind w:firstLine="549"/>
        <w:rPr>
          <w:rFonts w:hint="eastAsia" w:ascii="宋体" w:hAnsi="宋体"/>
          <w:bCs/>
          <w:sz w:val="24"/>
        </w:rPr>
      </w:pPr>
      <w:r>
        <w:rPr>
          <w:rFonts w:hint="eastAsia" w:ascii="宋体" w:hAnsi="宋体"/>
          <w:bCs/>
          <w:sz w:val="24"/>
        </w:rPr>
        <w:t>24</w:t>
      </w:r>
      <w:r>
        <w:rPr>
          <w:rFonts w:ascii="宋体" w:hAnsi="宋体"/>
          <w:bCs/>
          <w:sz w:val="24"/>
        </w:rPr>
        <w:t>.</w:t>
      </w:r>
      <w:r>
        <w:rPr>
          <w:rFonts w:hint="eastAsia" w:ascii="宋体" w:hAnsi="宋体"/>
          <w:bCs/>
          <w:sz w:val="24"/>
        </w:rPr>
        <w:t>1为有助于投标的审查、评价和比较，评标委员会可以书面方式要求投标人对投标文件中含义不明确、对同类问题表述不一致或者有明显文字和计算错误的内容作必要的澄清、说明或补正。澄清、说明或补正应以书面方式进行并不得超出投标文件的范围或改变投标文件的实质性内容。</w:t>
      </w:r>
    </w:p>
    <w:p>
      <w:pPr>
        <w:spacing w:line="360" w:lineRule="auto"/>
        <w:ind w:firstLine="549"/>
        <w:rPr>
          <w:rFonts w:hint="eastAsia" w:ascii="宋体" w:hAnsi="宋体"/>
          <w:sz w:val="24"/>
        </w:rPr>
      </w:pPr>
      <w:r>
        <w:rPr>
          <w:rFonts w:hint="eastAsia" w:ascii="宋体" w:hAnsi="宋体"/>
          <w:sz w:val="24"/>
        </w:rPr>
        <w:t>24.2投标文件中大写金额和小写金额不一致的，以大写金额为准；总价金额与按单价汇总金额不一致的，以单价金额计算结果为准；单价金额小数点有明显错位的，应以总价为准，并修改单价。</w:t>
      </w:r>
    </w:p>
    <w:p>
      <w:pPr>
        <w:spacing w:line="360" w:lineRule="auto"/>
        <w:ind w:firstLine="549"/>
        <w:rPr>
          <w:rFonts w:hint="eastAsia" w:ascii="宋体" w:hAnsi="宋体"/>
          <w:sz w:val="24"/>
        </w:rPr>
      </w:pPr>
      <w:r>
        <w:rPr>
          <w:rFonts w:hint="eastAsia" w:ascii="宋体" w:hAnsi="宋体"/>
          <w:sz w:val="24"/>
        </w:rPr>
        <w:t>24.3开标一览表内容与投标文件中明细表内容不一致的，以开标一览表为准。</w:t>
      </w:r>
    </w:p>
    <w:p>
      <w:pPr>
        <w:spacing w:line="360" w:lineRule="auto"/>
        <w:ind w:firstLine="549"/>
        <w:rPr>
          <w:rFonts w:hint="eastAsia" w:ascii="宋体" w:hAnsi="宋体"/>
          <w:sz w:val="24"/>
        </w:rPr>
      </w:pPr>
      <w:r>
        <w:rPr>
          <w:rFonts w:hint="eastAsia" w:ascii="宋体" w:hAnsi="宋体"/>
          <w:sz w:val="24"/>
        </w:rPr>
        <w:t>24.4 开标一览表中投标总价与投标文件中各分项报价汇总金额不一致的，按以下方式处理：</w:t>
      </w:r>
    </w:p>
    <w:p>
      <w:pPr>
        <w:spacing w:line="360" w:lineRule="auto"/>
        <w:ind w:firstLine="549"/>
        <w:rPr>
          <w:rFonts w:hint="eastAsia" w:ascii="宋体" w:hAnsi="宋体"/>
          <w:sz w:val="24"/>
        </w:rPr>
      </w:pPr>
      <w:r>
        <w:rPr>
          <w:rFonts w:hint="eastAsia" w:ascii="宋体" w:hAnsi="宋体"/>
          <w:sz w:val="24"/>
        </w:rPr>
        <w:t>24.4.1 项目以投标总价结算的，以开标一览表中投标总价为准；</w:t>
      </w:r>
    </w:p>
    <w:p>
      <w:pPr>
        <w:spacing w:line="360" w:lineRule="auto"/>
        <w:ind w:firstLine="549"/>
        <w:rPr>
          <w:rFonts w:hint="eastAsia" w:ascii="宋体" w:hAnsi="宋体"/>
          <w:sz w:val="24"/>
        </w:rPr>
      </w:pPr>
      <w:r>
        <w:rPr>
          <w:rFonts w:hint="eastAsia" w:ascii="宋体" w:hAnsi="宋体"/>
          <w:sz w:val="24"/>
        </w:rPr>
        <w:t>24.4.2项目以分项报价为准据实结算的，投标无效。</w:t>
      </w:r>
    </w:p>
    <w:p>
      <w:pPr>
        <w:spacing w:line="360" w:lineRule="auto"/>
        <w:ind w:firstLine="549"/>
        <w:rPr>
          <w:rFonts w:hint="eastAsia" w:ascii="宋体" w:hAnsi="宋体"/>
          <w:b/>
          <w:sz w:val="24"/>
        </w:rPr>
      </w:pPr>
      <w:r>
        <w:rPr>
          <w:rFonts w:hint="eastAsia" w:ascii="宋体" w:hAnsi="宋体"/>
          <w:b/>
          <w:sz w:val="24"/>
        </w:rPr>
        <w:t>25.评标</w:t>
      </w:r>
    </w:p>
    <w:p>
      <w:pPr>
        <w:spacing w:line="360" w:lineRule="auto"/>
        <w:ind w:firstLine="523" w:firstLineChars="218"/>
        <w:rPr>
          <w:rFonts w:hint="eastAsia" w:ascii="宋体" w:hAnsi="宋体"/>
          <w:b/>
          <w:sz w:val="24"/>
        </w:rPr>
      </w:pPr>
      <w:r>
        <w:rPr>
          <w:rFonts w:hint="eastAsia" w:ascii="宋体" w:hAnsi="宋体"/>
          <w:sz w:val="24"/>
        </w:rPr>
        <w:t>25.1 评委会将按照招标文件规定的评标办法对投标人独立进行评审。</w:t>
      </w:r>
    </w:p>
    <w:p>
      <w:pPr>
        <w:spacing w:line="360" w:lineRule="auto"/>
        <w:ind w:firstLine="549"/>
        <w:rPr>
          <w:rFonts w:hint="eastAsia" w:ascii="宋体" w:hAnsi="宋体"/>
          <w:sz w:val="24"/>
        </w:rPr>
      </w:pPr>
      <w:r>
        <w:rPr>
          <w:rFonts w:hint="eastAsia" w:ascii="宋体" w:hAnsi="宋体"/>
          <w:sz w:val="24"/>
        </w:rPr>
        <w:t>25</w:t>
      </w:r>
      <w:r>
        <w:rPr>
          <w:rFonts w:ascii="宋体" w:hAnsi="宋体"/>
          <w:sz w:val="24"/>
        </w:rPr>
        <w:t>.2</w:t>
      </w:r>
      <w:r>
        <w:rPr>
          <w:rFonts w:hint="eastAsia" w:ascii="宋体" w:hAnsi="宋体"/>
          <w:sz w:val="24"/>
        </w:rPr>
        <w:t>初审时，评委会将首先审查投标文件是否实质上响应招标文件的初审指标要求。实质上响应的投标应与招标文件的全部条款、条件和规格相符，没有重大偏离或保留。所谓重大偏离或保留是指影响合同的服务范围和质量等；或者在实质上与招标文件不一致，而且限制了合同中买方的权利或投标人的义务。这些偏离或保留将会对其他实质上响应要求的投标人的竞争地位产生不公正的影响。投标人不得通过修改或撤销不合要求的偏离或保留而使其投标成为响应性的投标。</w:t>
      </w:r>
    </w:p>
    <w:p>
      <w:pPr>
        <w:spacing w:line="360" w:lineRule="auto"/>
        <w:ind w:firstLine="549"/>
        <w:rPr>
          <w:rFonts w:hint="eastAsia" w:ascii="宋体" w:hAnsi="宋体"/>
          <w:sz w:val="24"/>
        </w:rPr>
      </w:pPr>
      <w:r>
        <w:rPr>
          <w:rFonts w:hint="eastAsia" w:ascii="宋体" w:hAnsi="宋体"/>
          <w:sz w:val="24"/>
        </w:rPr>
        <w:t>有下列情形之一的，评标委员会应当否决其投标：</w:t>
      </w:r>
    </w:p>
    <w:p>
      <w:pPr>
        <w:spacing w:line="360" w:lineRule="auto"/>
        <w:ind w:firstLine="549"/>
        <w:rPr>
          <w:rFonts w:hint="eastAsia" w:ascii="宋体" w:hAnsi="宋体"/>
          <w:sz w:val="24"/>
        </w:rPr>
      </w:pPr>
      <w:r>
        <w:rPr>
          <w:rFonts w:hint="eastAsia" w:ascii="宋体" w:hAnsi="宋体"/>
          <w:sz w:val="24"/>
        </w:rPr>
        <w:t>25.2.1</w:t>
      </w:r>
      <w:r>
        <w:rPr>
          <w:rFonts w:ascii="宋体" w:hAnsi="宋体"/>
          <w:sz w:val="24"/>
        </w:rPr>
        <w:t>投标文件未经投标单位盖章和单位负责人签字</w:t>
      </w:r>
      <w:r>
        <w:rPr>
          <w:rFonts w:hint="eastAsia" w:ascii="宋体" w:hAnsi="宋体"/>
          <w:sz w:val="24"/>
        </w:rPr>
        <w:t>；</w:t>
      </w:r>
    </w:p>
    <w:p>
      <w:pPr>
        <w:spacing w:line="360" w:lineRule="auto"/>
        <w:ind w:firstLine="549"/>
        <w:rPr>
          <w:rFonts w:hint="eastAsia" w:ascii="宋体" w:hAnsi="宋体"/>
          <w:sz w:val="24"/>
        </w:rPr>
      </w:pPr>
      <w:r>
        <w:rPr>
          <w:rFonts w:hint="eastAsia" w:ascii="宋体" w:hAnsi="宋体"/>
          <w:sz w:val="24"/>
        </w:rPr>
        <w:t>25.2.2</w:t>
      </w:r>
      <w:r>
        <w:rPr>
          <w:rFonts w:ascii="宋体" w:hAnsi="宋体"/>
          <w:sz w:val="24"/>
        </w:rPr>
        <w:t>投标联合体没有提交</w:t>
      </w:r>
      <w:r>
        <w:rPr>
          <w:rFonts w:hint="eastAsia" w:ascii="宋体" w:hAnsi="宋体"/>
          <w:sz w:val="24"/>
        </w:rPr>
        <w:t>联合体</w:t>
      </w:r>
      <w:r>
        <w:rPr>
          <w:rFonts w:ascii="宋体" w:hAnsi="宋体"/>
          <w:sz w:val="24"/>
        </w:rPr>
        <w:t>协议；</w:t>
      </w:r>
    </w:p>
    <w:p>
      <w:pPr>
        <w:spacing w:line="360" w:lineRule="auto"/>
        <w:ind w:firstLine="549"/>
        <w:rPr>
          <w:rFonts w:hint="eastAsia" w:ascii="宋体" w:hAnsi="宋体"/>
          <w:sz w:val="24"/>
        </w:rPr>
      </w:pPr>
      <w:r>
        <w:rPr>
          <w:rFonts w:hint="eastAsia" w:ascii="宋体" w:hAnsi="宋体"/>
          <w:sz w:val="24"/>
        </w:rPr>
        <w:t>25.2.3投标人不符合国家或者招标文件规定的资格条件；</w:t>
      </w:r>
    </w:p>
    <w:p>
      <w:pPr>
        <w:spacing w:line="360" w:lineRule="auto"/>
        <w:ind w:firstLine="549"/>
        <w:rPr>
          <w:rFonts w:hint="eastAsia" w:ascii="宋体" w:hAnsi="宋体"/>
          <w:sz w:val="24"/>
        </w:rPr>
      </w:pPr>
      <w:r>
        <w:rPr>
          <w:rFonts w:hint="eastAsia" w:ascii="宋体" w:hAnsi="宋体"/>
          <w:sz w:val="24"/>
        </w:rPr>
        <w:t>25.2.4同一投标人提交两个以上不同的投标文件或者投标报价，但招标文件要求提交备选投标的除外；</w:t>
      </w:r>
    </w:p>
    <w:p>
      <w:pPr>
        <w:spacing w:line="360" w:lineRule="auto"/>
        <w:ind w:firstLine="549"/>
        <w:rPr>
          <w:rFonts w:hint="eastAsia" w:ascii="宋体" w:hAnsi="宋体"/>
          <w:sz w:val="24"/>
        </w:rPr>
      </w:pPr>
      <w:r>
        <w:rPr>
          <w:rFonts w:hint="eastAsia" w:ascii="宋体" w:hAnsi="宋体"/>
          <w:sz w:val="24"/>
        </w:rPr>
        <w:t>25.2.5</w:t>
      </w:r>
      <w:r>
        <w:rPr>
          <w:rFonts w:ascii="宋体" w:hAnsi="宋体"/>
          <w:sz w:val="24"/>
        </w:rPr>
        <w:t>投标报价低于成本或者高于招标文件设定的最高投标限价；</w:t>
      </w:r>
    </w:p>
    <w:p>
      <w:pPr>
        <w:spacing w:line="360" w:lineRule="auto"/>
        <w:ind w:firstLine="549"/>
        <w:rPr>
          <w:rFonts w:hint="eastAsia" w:ascii="宋体" w:hAnsi="宋体"/>
          <w:sz w:val="24"/>
        </w:rPr>
      </w:pPr>
      <w:r>
        <w:rPr>
          <w:rFonts w:hint="eastAsia" w:ascii="宋体" w:hAnsi="宋体"/>
          <w:sz w:val="24"/>
        </w:rPr>
        <w:t>25.2.6</w:t>
      </w:r>
      <w:r>
        <w:rPr>
          <w:rFonts w:ascii="宋体" w:hAnsi="宋体"/>
          <w:sz w:val="24"/>
        </w:rPr>
        <w:t>投标文件没有对招标文件的实质性要求和条件作出响应；</w:t>
      </w:r>
    </w:p>
    <w:p>
      <w:pPr>
        <w:spacing w:line="360" w:lineRule="auto"/>
        <w:ind w:firstLine="549"/>
        <w:rPr>
          <w:rFonts w:hint="eastAsia" w:ascii="宋体" w:hAnsi="宋体"/>
          <w:sz w:val="24"/>
        </w:rPr>
      </w:pPr>
      <w:r>
        <w:rPr>
          <w:rFonts w:hint="eastAsia" w:ascii="宋体" w:hAnsi="宋体"/>
          <w:sz w:val="24"/>
        </w:rPr>
        <w:t>25.2.7</w:t>
      </w:r>
      <w:r>
        <w:rPr>
          <w:rFonts w:ascii="宋体" w:hAnsi="宋体"/>
          <w:sz w:val="24"/>
        </w:rPr>
        <w:t>投标人有串通投标、弄虚作假、行贿等违法行为。</w:t>
      </w:r>
    </w:p>
    <w:p>
      <w:pPr>
        <w:spacing w:line="360" w:lineRule="auto"/>
        <w:ind w:firstLine="549"/>
        <w:rPr>
          <w:rFonts w:hint="eastAsia" w:ascii="宋体" w:hAnsi="宋体"/>
          <w:sz w:val="24"/>
        </w:rPr>
      </w:pPr>
      <w:r>
        <w:rPr>
          <w:rFonts w:hint="eastAsia" w:ascii="宋体" w:hAnsi="宋体"/>
          <w:sz w:val="24"/>
        </w:rPr>
        <w:t>25</w:t>
      </w:r>
      <w:r>
        <w:rPr>
          <w:rFonts w:ascii="宋体" w:hAnsi="宋体"/>
          <w:sz w:val="24"/>
        </w:rPr>
        <w:t>.</w:t>
      </w:r>
      <w:r>
        <w:rPr>
          <w:rFonts w:hint="eastAsia" w:ascii="宋体" w:hAnsi="宋体"/>
          <w:sz w:val="24"/>
        </w:rPr>
        <w:t>3初审时，评委会将审查投标文件是否符合招标文件的初审指标要求。</w:t>
      </w:r>
    </w:p>
    <w:p>
      <w:pPr>
        <w:spacing w:line="360" w:lineRule="auto"/>
        <w:ind w:firstLine="549"/>
        <w:rPr>
          <w:rFonts w:hint="eastAsia" w:ascii="宋体" w:hAnsi="宋体"/>
          <w:sz w:val="24"/>
        </w:rPr>
      </w:pPr>
      <w:r>
        <w:rPr>
          <w:rFonts w:hint="eastAsia" w:ascii="宋体" w:hAnsi="宋体"/>
          <w:sz w:val="24"/>
        </w:rPr>
        <w:t>25</w:t>
      </w:r>
      <w:r>
        <w:rPr>
          <w:rFonts w:ascii="宋体" w:hAnsi="宋体"/>
          <w:sz w:val="24"/>
        </w:rPr>
        <w:t>.</w:t>
      </w:r>
      <w:r>
        <w:rPr>
          <w:rFonts w:hint="eastAsia" w:ascii="宋体" w:hAnsi="宋体"/>
          <w:sz w:val="24"/>
        </w:rPr>
        <w:t>4如果投标文件未通过初审，投标无效。</w:t>
      </w:r>
    </w:p>
    <w:p>
      <w:pPr>
        <w:spacing w:line="360" w:lineRule="auto"/>
        <w:ind w:firstLine="549"/>
        <w:rPr>
          <w:rFonts w:hint="eastAsia" w:ascii="宋体" w:hAnsi="宋体"/>
          <w:b/>
          <w:bCs/>
          <w:sz w:val="24"/>
        </w:rPr>
      </w:pPr>
      <w:r>
        <w:rPr>
          <w:rFonts w:hint="eastAsia" w:ascii="宋体" w:hAnsi="宋体"/>
          <w:b/>
          <w:bCs/>
          <w:sz w:val="24"/>
        </w:rPr>
        <w:t>26</w:t>
      </w:r>
      <w:r>
        <w:rPr>
          <w:rFonts w:hint="eastAsia" w:ascii="宋体" w:hAnsi="宋体"/>
          <w:b/>
          <w:sz w:val="24"/>
        </w:rPr>
        <w:t>.</w:t>
      </w:r>
      <w:r>
        <w:rPr>
          <w:rFonts w:hint="eastAsia" w:ascii="宋体" w:hAnsi="宋体"/>
          <w:b/>
          <w:bCs/>
          <w:sz w:val="24"/>
        </w:rPr>
        <w:t>流标处理</w:t>
      </w:r>
    </w:p>
    <w:p>
      <w:pPr>
        <w:spacing w:line="360" w:lineRule="auto"/>
        <w:ind w:firstLine="549"/>
        <w:rPr>
          <w:rFonts w:hint="eastAsia" w:ascii="宋体" w:hAnsi="宋体"/>
          <w:sz w:val="24"/>
        </w:rPr>
      </w:pPr>
      <w:r>
        <w:rPr>
          <w:rFonts w:hint="eastAsia" w:ascii="宋体" w:hAnsi="宋体"/>
          <w:sz w:val="24"/>
        </w:rPr>
        <w:t>26.1在招标中，符合专业条件的投标人或对招标文件作实质响应的投标人不足规定家数的，</w:t>
      </w:r>
      <w:r>
        <w:rPr>
          <w:rFonts w:hint="eastAsia" w:ascii="宋体" w:hAnsi="宋体"/>
          <w:sz w:val="24"/>
          <w:szCs w:val="22"/>
          <w:lang w:eastAsia="zh-CN"/>
        </w:rPr>
        <w:t>安徽国翠玉艺股份有限公司</w:t>
      </w:r>
      <w:r>
        <w:rPr>
          <w:rFonts w:hint="eastAsia" w:ascii="宋体" w:hAnsi="宋体"/>
          <w:sz w:val="24"/>
        </w:rPr>
        <w:t>有权宣布流标：流标后，</w:t>
      </w:r>
      <w:r>
        <w:rPr>
          <w:rFonts w:hint="eastAsia" w:ascii="宋体" w:hAnsi="宋体"/>
          <w:sz w:val="24"/>
          <w:szCs w:val="22"/>
          <w:lang w:eastAsia="zh-CN"/>
        </w:rPr>
        <w:t>安徽国翠玉艺股份有限公司</w:t>
      </w:r>
      <w:r>
        <w:rPr>
          <w:rFonts w:hint="eastAsia" w:ascii="宋体" w:hAnsi="宋体"/>
          <w:sz w:val="24"/>
        </w:rPr>
        <w:t>会把流标理由通知所有投标人。</w:t>
      </w:r>
    </w:p>
    <w:p>
      <w:pPr>
        <w:spacing w:line="360" w:lineRule="auto"/>
        <w:ind w:firstLine="549"/>
        <w:rPr>
          <w:rFonts w:hint="eastAsia" w:ascii="宋体" w:hAnsi="宋体"/>
          <w:sz w:val="24"/>
        </w:rPr>
      </w:pPr>
      <w:r>
        <w:rPr>
          <w:rFonts w:hint="eastAsia" w:ascii="宋体" w:hAnsi="宋体"/>
          <w:sz w:val="24"/>
        </w:rPr>
        <w:t>26.2 因上条规定情形导致流标的，若招标人提出申请，报经监督管理部门批准，可现场改为竞争性谈判，投标人有下列情形之一的，不得参加谈判：</w:t>
      </w:r>
    </w:p>
    <w:p>
      <w:pPr>
        <w:spacing w:line="360" w:lineRule="auto"/>
        <w:ind w:firstLine="523" w:firstLineChars="218"/>
        <w:rPr>
          <w:rFonts w:hint="eastAsia" w:ascii="宋体" w:hAnsi="宋体"/>
          <w:sz w:val="24"/>
        </w:rPr>
      </w:pPr>
      <w:r>
        <w:rPr>
          <w:rFonts w:hint="eastAsia" w:ascii="宋体" w:hAnsi="宋体"/>
          <w:sz w:val="24"/>
        </w:rPr>
        <w:t>26.2.1未通过投标有效性评审的；</w:t>
      </w:r>
    </w:p>
    <w:p>
      <w:pPr>
        <w:spacing w:line="360" w:lineRule="auto"/>
        <w:ind w:firstLine="523" w:firstLineChars="218"/>
        <w:rPr>
          <w:rFonts w:hint="eastAsia" w:ascii="宋体" w:hAnsi="宋体"/>
          <w:sz w:val="24"/>
        </w:rPr>
      </w:pPr>
      <w:r>
        <w:rPr>
          <w:rFonts w:hint="eastAsia" w:ascii="宋体" w:hAnsi="宋体"/>
          <w:sz w:val="24"/>
        </w:rPr>
        <w:t>26.2.2未经</w:t>
      </w:r>
      <w:r>
        <w:rPr>
          <w:rFonts w:hint="eastAsia" w:ascii="宋体" w:hAnsi="宋体"/>
          <w:sz w:val="24"/>
          <w:szCs w:val="22"/>
          <w:lang w:eastAsia="zh-CN"/>
        </w:rPr>
        <w:t>安徽国翠玉艺股份有限公司</w:t>
      </w:r>
      <w:r>
        <w:rPr>
          <w:rFonts w:hint="eastAsia" w:ascii="宋体" w:hAnsi="宋体"/>
          <w:sz w:val="24"/>
        </w:rPr>
        <w:t>公司允许，离开开标现场通知不上的；</w:t>
      </w:r>
    </w:p>
    <w:p>
      <w:pPr>
        <w:spacing w:line="360" w:lineRule="auto"/>
        <w:ind w:firstLine="523" w:firstLineChars="218"/>
        <w:rPr>
          <w:rFonts w:hint="eastAsia" w:ascii="宋体" w:hAnsi="宋体"/>
          <w:sz w:val="24"/>
        </w:rPr>
      </w:pPr>
      <w:r>
        <w:rPr>
          <w:rFonts w:hint="eastAsia" w:ascii="宋体" w:hAnsi="宋体"/>
          <w:sz w:val="24"/>
        </w:rPr>
        <w:t>26.2.3有影响招标公正的违法、违规行为造成项目流标的；</w:t>
      </w:r>
    </w:p>
    <w:p>
      <w:pPr>
        <w:spacing w:line="360" w:lineRule="auto"/>
        <w:ind w:firstLine="523" w:firstLineChars="218"/>
        <w:rPr>
          <w:rFonts w:hint="eastAsia" w:ascii="宋体" w:hAnsi="宋体"/>
          <w:sz w:val="24"/>
        </w:rPr>
      </w:pPr>
      <w:r>
        <w:rPr>
          <w:rFonts w:hint="eastAsia" w:ascii="宋体" w:hAnsi="宋体"/>
          <w:sz w:val="24"/>
        </w:rPr>
        <w:t>26.2.4其他不符合竞争性谈判条件的情况。</w:t>
      </w:r>
    </w:p>
    <w:p>
      <w:pPr>
        <w:spacing w:line="360" w:lineRule="auto"/>
        <w:ind w:firstLine="549"/>
        <w:rPr>
          <w:rFonts w:hint="eastAsia" w:ascii="宋体" w:hAnsi="宋体"/>
          <w:sz w:val="24"/>
          <w:szCs w:val="24"/>
        </w:rPr>
      </w:pPr>
      <w:r>
        <w:rPr>
          <w:rFonts w:hint="eastAsia" w:ascii="宋体" w:hAnsi="宋体"/>
          <w:sz w:val="24"/>
          <w:szCs w:val="24"/>
        </w:rPr>
        <w:t>26.3招标方式现场改为竞争性谈判时，</w:t>
      </w:r>
      <w:r>
        <w:rPr>
          <w:rFonts w:hint="eastAsia" w:ascii="宋体" w:hAnsi="宋体"/>
          <w:sz w:val="24"/>
          <w:szCs w:val="22"/>
          <w:lang w:eastAsia="zh-CN"/>
        </w:rPr>
        <w:t>安徽国翠玉艺股份有限公司</w:t>
      </w:r>
      <w:r>
        <w:rPr>
          <w:rFonts w:hint="eastAsia" w:ascii="宋体" w:hAnsi="宋体"/>
          <w:sz w:val="24"/>
          <w:szCs w:val="24"/>
        </w:rPr>
        <w:t>以《招标流标现场转谈判邀请函》方式函告投标现场各投标人，投标人授权代表签字确认参加谈判。放弃谈判的视同自动放弃本项目的投标资格。竞争性谈判应当至少有两家及以上投标人参加。如参加谈判的投标人少于两家，谈判做流标处理。</w:t>
      </w:r>
    </w:p>
    <w:p>
      <w:pPr>
        <w:spacing w:line="360" w:lineRule="auto"/>
        <w:ind w:firstLine="549"/>
        <w:rPr>
          <w:rFonts w:hint="eastAsia" w:ascii="宋体" w:hAnsi="宋体"/>
          <w:sz w:val="24"/>
          <w:szCs w:val="24"/>
        </w:rPr>
      </w:pPr>
      <w:r>
        <w:rPr>
          <w:rFonts w:hint="eastAsia" w:ascii="宋体" w:hAnsi="宋体"/>
          <w:sz w:val="24"/>
          <w:szCs w:val="24"/>
        </w:rPr>
        <w:t>26.3.1招标方式现场改为竞争性谈判时谈判的资格要求、招标需求、付款条件、商务条款等原则上均按招标文件规定不变，如有变化将书面告知所有参加谈判的投标人。</w:t>
      </w:r>
    </w:p>
    <w:p>
      <w:pPr>
        <w:spacing w:line="360" w:lineRule="auto"/>
        <w:ind w:firstLine="549"/>
        <w:rPr>
          <w:rFonts w:ascii="宋体" w:hAnsi="宋体"/>
          <w:sz w:val="24"/>
          <w:szCs w:val="24"/>
        </w:rPr>
      </w:pPr>
      <w:r>
        <w:rPr>
          <w:rFonts w:hint="eastAsia" w:ascii="宋体" w:hAnsi="宋体"/>
          <w:sz w:val="24"/>
          <w:szCs w:val="24"/>
        </w:rPr>
        <w:t>招标文件原评标办法为有效最低价、符合性评审或定价招标的，现场改为竞争性谈判时，评标办法保持不变。</w:t>
      </w:r>
    </w:p>
    <w:p>
      <w:pPr>
        <w:spacing w:line="360" w:lineRule="auto"/>
        <w:ind w:firstLine="549"/>
        <w:rPr>
          <w:rFonts w:hint="eastAsia" w:ascii="宋体" w:hAnsi="宋体"/>
          <w:sz w:val="24"/>
          <w:szCs w:val="24"/>
        </w:rPr>
      </w:pPr>
      <w:r>
        <w:rPr>
          <w:rFonts w:hint="eastAsia" w:ascii="宋体" w:hAnsi="宋体"/>
          <w:sz w:val="24"/>
          <w:szCs w:val="24"/>
        </w:rPr>
        <w:t>招标文件原评标办法为综合评分法（非定价招标）或两阶段低价法或两阶段综合评分法，现场改为竞争性谈判时，评标办法变更为有效最低价：即在投标人通过符合性评审的前提下，以有效报价最低的投标人为第一中标候选人。</w:t>
      </w:r>
    </w:p>
    <w:p>
      <w:pPr>
        <w:spacing w:line="360" w:lineRule="auto"/>
        <w:ind w:firstLine="549"/>
        <w:rPr>
          <w:rFonts w:hint="eastAsia" w:ascii="宋体" w:hAnsi="宋体"/>
          <w:sz w:val="24"/>
          <w:szCs w:val="24"/>
        </w:rPr>
      </w:pPr>
      <w:r>
        <w:rPr>
          <w:rFonts w:hint="eastAsia" w:ascii="宋体" w:hAnsi="宋体"/>
          <w:sz w:val="24"/>
          <w:szCs w:val="24"/>
        </w:rPr>
        <w:t>26.3</w:t>
      </w:r>
      <w:r>
        <w:rPr>
          <w:rFonts w:ascii="宋体" w:hAnsi="宋体"/>
          <w:sz w:val="24"/>
          <w:szCs w:val="24"/>
        </w:rPr>
        <w:t>.</w:t>
      </w:r>
      <w:r>
        <w:rPr>
          <w:rFonts w:hint="eastAsia" w:ascii="宋体" w:hAnsi="宋体"/>
          <w:sz w:val="24"/>
          <w:szCs w:val="24"/>
        </w:rPr>
        <w:t>2谈判时，若投标人未能在评委会指定时间内（原则上不超过60分钟）提交符合要求的补充资料或未作出实质性响应的，投标无效。经过审查符合谈判要求的有效投标人少于两家的，谈判做流标处理。</w:t>
      </w:r>
    </w:p>
    <w:p>
      <w:pPr>
        <w:spacing w:line="360" w:lineRule="auto"/>
        <w:ind w:firstLine="549"/>
        <w:rPr>
          <w:rFonts w:hint="eastAsia" w:ascii="宋体" w:hAnsi="宋体"/>
          <w:sz w:val="24"/>
          <w:szCs w:val="24"/>
        </w:rPr>
      </w:pPr>
      <w:r>
        <w:rPr>
          <w:rFonts w:hint="eastAsia" w:ascii="宋体" w:hAnsi="宋体"/>
          <w:sz w:val="24"/>
          <w:szCs w:val="24"/>
        </w:rPr>
        <w:t>26.3</w:t>
      </w:r>
      <w:r>
        <w:rPr>
          <w:rFonts w:ascii="宋体" w:hAnsi="宋体"/>
          <w:sz w:val="24"/>
          <w:szCs w:val="24"/>
        </w:rPr>
        <w:t>.</w:t>
      </w:r>
      <w:r>
        <w:rPr>
          <w:rFonts w:hint="eastAsia" w:ascii="宋体" w:hAnsi="宋体"/>
          <w:sz w:val="24"/>
          <w:szCs w:val="24"/>
        </w:rPr>
        <w:t>3投标文件的报价视为谈判时的首次报价，未唱标转谈判的，谈判时不公开投标人各轮报价。已经唱标而转谈判的，谈判前公布各参与谈判的投标人首轮报价。</w:t>
      </w:r>
    </w:p>
    <w:p>
      <w:pPr>
        <w:spacing w:line="360" w:lineRule="auto"/>
        <w:ind w:firstLine="549"/>
        <w:rPr>
          <w:rFonts w:hint="eastAsia" w:ascii="宋体" w:hAnsi="宋体"/>
          <w:sz w:val="24"/>
          <w:szCs w:val="24"/>
        </w:rPr>
      </w:pPr>
      <w:r>
        <w:rPr>
          <w:rFonts w:hint="eastAsia" w:ascii="宋体" w:hAnsi="宋体"/>
          <w:sz w:val="24"/>
          <w:szCs w:val="24"/>
        </w:rPr>
        <w:t>26.3</w:t>
      </w:r>
      <w:r>
        <w:rPr>
          <w:rFonts w:ascii="宋体" w:hAnsi="宋体"/>
          <w:sz w:val="24"/>
          <w:szCs w:val="24"/>
        </w:rPr>
        <w:t>.</w:t>
      </w:r>
      <w:r>
        <w:rPr>
          <w:rFonts w:hint="eastAsia" w:ascii="宋体" w:hAnsi="宋体"/>
          <w:sz w:val="24"/>
          <w:szCs w:val="24"/>
        </w:rPr>
        <w:t>4在谈判内容不作实质性变更及重大调整的前提下，投标人次轮报价不得高于上一轮报价。</w:t>
      </w:r>
    </w:p>
    <w:p>
      <w:pPr>
        <w:spacing w:line="360" w:lineRule="auto"/>
        <w:ind w:firstLine="480" w:firstLineChars="200"/>
        <w:rPr>
          <w:rFonts w:hint="eastAsia" w:ascii="宋体" w:hAnsi="宋体"/>
          <w:b/>
          <w:sz w:val="24"/>
        </w:rPr>
      </w:pPr>
      <w:r>
        <w:rPr>
          <w:rFonts w:hint="eastAsia" w:ascii="宋体" w:hAnsi="宋体"/>
          <w:sz w:val="24"/>
          <w:szCs w:val="24"/>
        </w:rPr>
        <w:t>26.3</w:t>
      </w:r>
      <w:r>
        <w:rPr>
          <w:rFonts w:ascii="宋体" w:hAnsi="宋体"/>
          <w:sz w:val="24"/>
          <w:szCs w:val="24"/>
        </w:rPr>
        <w:t>.</w:t>
      </w:r>
      <w:r>
        <w:rPr>
          <w:rFonts w:hint="eastAsia" w:ascii="宋体" w:hAnsi="宋体"/>
          <w:sz w:val="24"/>
          <w:szCs w:val="24"/>
        </w:rPr>
        <w:t>5谈判时，投标人投标报价与公布的预算价（或控制价)相比降幅过小，或投标人投标报价明显缺乏竞争性的，评委会可以否决所有投标。</w:t>
      </w:r>
    </w:p>
    <w:p>
      <w:pPr>
        <w:pStyle w:val="5"/>
        <w:spacing w:line="360" w:lineRule="auto"/>
        <w:ind w:firstLine="628"/>
        <w:rPr>
          <w:rFonts w:hint="eastAsia" w:hAnsi="宋体"/>
          <w:sz w:val="28"/>
        </w:rPr>
      </w:pPr>
      <w:bookmarkStart w:id="56" w:name="_Toc504073357"/>
      <w:bookmarkStart w:id="57" w:name="_Toc516969091"/>
      <w:r>
        <w:rPr>
          <w:rFonts w:hint="eastAsia" w:hAnsi="宋体"/>
          <w:sz w:val="28"/>
        </w:rPr>
        <w:t>六．定标与签订合同</w:t>
      </w:r>
      <w:bookmarkEnd w:id="56"/>
      <w:bookmarkEnd w:id="57"/>
    </w:p>
    <w:p>
      <w:pPr>
        <w:spacing w:line="360" w:lineRule="auto"/>
        <w:ind w:firstLine="549"/>
        <w:rPr>
          <w:rFonts w:hint="eastAsia" w:ascii="宋体" w:hAnsi="宋体"/>
          <w:b/>
          <w:sz w:val="24"/>
        </w:rPr>
      </w:pPr>
      <w:r>
        <w:rPr>
          <w:rFonts w:hint="eastAsia" w:ascii="宋体" w:hAnsi="宋体"/>
          <w:b/>
          <w:sz w:val="24"/>
        </w:rPr>
        <w:t>27.定标</w:t>
      </w:r>
    </w:p>
    <w:p>
      <w:pPr>
        <w:spacing w:line="360" w:lineRule="auto"/>
        <w:ind w:firstLine="549"/>
        <w:rPr>
          <w:rFonts w:hint="eastAsia" w:ascii="宋体" w:hAnsi="宋体"/>
          <w:sz w:val="24"/>
        </w:rPr>
      </w:pPr>
      <w:r>
        <w:rPr>
          <w:rFonts w:hint="eastAsia" w:ascii="宋体" w:hAnsi="宋体"/>
          <w:sz w:val="24"/>
        </w:rPr>
        <w:t>27</w:t>
      </w:r>
      <w:r>
        <w:rPr>
          <w:rFonts w:ascii="宋体" w:hAnsi="宋体"/>
          <w:sz w:val="24"/>
        </w:rPr>
        <w:t>.</w:t>
      </w:r>
      <w:r>
        <w:rPr>
          <w:rFonts w:hint="eastAsia" w:ascii="宋体" w:hAnsi="宋体"/>
          <w:sz w:val="24"/>
        </w:rPr>
        <w:t>1评委会应当按招标文件规定的标准和方法提出独立评审意见，推荐中标候选人。</w:t>
      </w:r>
    </w:p>
    <w:p>
      <w:pPr>
        <w:spacing w:line="360" w:lineRule="auto"/>
        <w:ind w:firstLine="549"/>
        <w:rPr>
          <w:rFonts w:hint="eastAsia" w:ascii="宋体" w:hAnsi="宋体"/>
          <w:sz w:val="24"/>
        </w:rPr>
      </w:pPr>
      <w:r>
        <w:rPr>
          <w:rFonts w:hint="eastAsia" w:ascii="宋体" w:hAnsi="宋体"/>
          <w:sz w:val="24"/>
        </w:rPr>
        <w:t>27</w:t>
      </w:r>
      <w:r>
        <w:rPr>
          <w:rFonts w:ascii="宋体" w:hAnsi="宋体"/>
          <w:sz w:val="24"/>
        </w:rPr>
        <w:t>.</w:t>
      </w:r>
      <w:r>
        <w:rPr>
          <w:rFonts w:hint="eastAsia" w:ascii="宋体" w:hAnsi="宋体"/>
          <w:sz w:val="24"/>
        </w:rPr>
        <w:t>2如评委会认为有必要，首先对第一中标候选人就投标文件所提供的内容是否符合招标文件的要求进行资格后审。资格后审视为本项目招标活动的延续，以书面报告作为最终审查的结果。如果确定第一中标候选人无法履行合同，将按排名依次对其余中标候选人进行类似的审查。</w:t>
      </w:r>
    </w:p>
    <w:p>
      <w:pPr>
        <w:spacing w:line="360" w:lineRule="auto"/>
        <w:ind w:firstLine="549"/>
        <w:rPr>
          <w:rFonts w:hint="eastAsia" w:ascii="宋体" w:hAnsi="宋体"/>
          <w:sz w:val="24"/>
        </w:rPr>
      </w:pPr>
      <w:r>
        <w:rPr>
          <w:rFonts w:hint="eastAsia" w:ascii="宋体" w:hAnsi="宋体"/>
          <w:sz w:val="24"/>
        </w:rPr>
        <w:t>排名第一的中标候选人放弃中标、因不可抗力不能履行合同、不按照招标文件要求提交履约保证金，或者被查实存在影响中标结果的违法行为等情形，不符合中标条件的，招标人可以按照评标委员会提出的中标候选人名单排序依次确定其他中标候选人为中标人，也可以重新招标。</w:t>
      </w:r>
    </w:p>
    <w:p>
      <w:pPr>
        <w:spacing w:line="360" w:lineRule="auto"/>
        <w:ind w:firstLine="549"/>
        <w:rPr>
          <w:rFonts w:hint="eastAsia" w:ascii="宋体" w:hAnsi="宋体"/>
          <w:sz w:val="24"/>
        </w:rPr>
      </w:pPr>
      <w:r>
        <w:rPr>
          <w:rFonts w:hint="eastAsia" w:ascii="宋体" w:hAnsi="宋体"/>
          <w:sz w:val="24"/>
        </w:rPr>
        <w:t>27.3原则上把合同授予实质上响应招标文件要求的排名最前的中标候选人或通过上条资格审查的中标候选人。</w:t>
      </w:r>
    </w:p>
    <w:p>
      <w:pPr>
        <w:spacing w:line="360" w:lineRule="auto"/>
        <w:ind w:firstLine="549"/>
        <w:rPr>
          <w:rFonts w:hint="eastAsia" w:ascii="宋体" w:hAnsi="宋体"/>
          <w:sz w:val="24"/>
        </w:rPr>
      </w:pPr>
      <w:r>
        <w:rPr>
          <w:rFonts w:hint="eastAsia" w:ascii="宋体" w:hAnsi="宋体"/>
          <w:sz w:val="24"/>
        </w:rPr>
        <w:t>27.4 最低报价并不是被授予合同的保证。</w:t>
      </w:r>
    </w:p>
    <w:p>
      <w:pPr>
        <w:spacing w:line="360" w:lineRule="auto"/>
        <w:ind w:firstLine="549"/>
        <w:rPr>
          <w:rFonts w:hint="eastAsia" w:ascii="宋体" w:hAnsi="宋体"/>
          <w:sz w:val="24"/>
        </w:rPr>
      </w:pPr>
      <w:r>
        <w:rPr>
          <w:rFonts w:hint="eastAsia" w:ascii="宋体" w:hAnsi="宋体"/>
          <w:sz w:val="24"/>
        </w:rPr>
        <w:t>27.5 凡发现中标候选人有下列行为之一的，其中标无效，并移交监督管理部门依法处理：</w:t>
      </w:r>
    </w:p>
    <w:p>
      <w:pPr>
        <w:spacing w:line="360" w:lineRule="auto"/>
        <w:ind w:left="549"/>
        <w:rPr>
          <w:rFonts w:hint="eastAsia" w:ascii="宋体" w:hAnsi="宋体"/>
          <w:sz w:val="24"/>
        </w:rPr>
      </w:pPr>
      <w:r>
        <w:rPr>
          <w:rFonts w:hint="eastAsia" w:ascii="宋体" w:hAnsi="宋体"/>
          <w:sz w:val="24"/>
        </w:rPr>
        <w:t>27.5.1 以他人名义投标、或提供虚假材料弄虚作假谋取中标的；</w:t>
      </w:r>
    </w:p>
    <w:p>
      <w:pPr>
        <w:spacing w:line="360" w:lineRule="auto"/>
        <w:ind w:left="549"/>
        <w:rPr>
          <w:rFonts w:hint="eastAsia" w:ascii="宋体" w:hAnsi="宋体"/>
          <w:sz w:val="24"/>
        </w:rPr>
      </w:pPr>
      <w:r>
        <w:rPr>
          <w:rFonts w:hint="eastAsia" w:ascii="宋体" w:hAnsi="宋体"/>
          <w:sz w:val="24"/>
        </w:rPr>
        <w:t>27.5.1.1以他人名义投标，是指使用通过受让或者租借等方式获取的资格、资质证书投标。</w:t>
      </w:r>
    </w:p>
    <w:p>
      <w:pPr>
        <w:spacing w:line="360" w:lineRule="auto"/>
        <w:ind w:left="549"/>
        <w:rPr>
          <w:rFonts w:hint="eastAsia" w:ascii="宋体" w:hAnsi="宋体"/>
          <w:sz w:val="24"/>
        </w:rPr>
      </w:pPr>
      <w:r>
        <w:rPr>
          <w:rFonts w:hint="eastAsia" w:ascii="宋体" w:hAnsi="宋体"/>
          <w:sz w:val="24"/>
        </w:rPr>
        <w:t>27.5.1.2有投标人有下列情形之一的，属于弄虚作假的行为：</w:t>
      </w:r>
    </w:p>
    <w:p>
      <w:pPr>
        <w:spacing w:line="360" w:lineRule="auto"/>
        <w:ind w:left="549"/>
        <w:rPr>
          <w:rFonts w:hint="eastAsia" w:ascii="宋体" w:hAnsi="宋体"/>
          <w:sz w:val="24"/>
        </w:rPr>
      </w:pPr>
      <w:r>
        <w:rPr>
          <w:rFonts w:hint="eastAsia" w:ascii="宋体" w:hAnsi="宋体"/>
          <w:sz w:val="24"/>
        </w:rPr>
        <w:t>27.5.1.2.1使用伪造、变造的许可证件；</w:t>
      </w:r>
    </w:p>
    <w:p>
      <w:pPr>
        <w:spacing w:line="360" w:lineRule="auto"/>
        <w:ind w:left="549"/>
        <w:rPr>
          <w:rFonts w:hint="eastAsia" w:ascii="宋体" w:hAnsi="宋体"/>
          <w:sz w:val="24"/>
        </w:rPr>
      </w:pPr>
      <w:r>
        <w:rPr>
          <w:rFonts w:hint="eastAsia" w:ascii="宋体" w:hAnsi="宋体"/>
          <w:sz w:val="24"/>
        </w:rPr>
        <w:t>27.5.1.2.2提供虚假的财务状况或者业绩；</w:t>
      </w:r>
    </w:p>
    <w:p>
      <w:pPr>
        <w:spacing w:line="360" w:lineRule="auto"/>
        <w:ind w:left="549"/>
        <w:rPr>
          <w:rFonts w:hint="eastAsia" w:ascii="宋体" w:hAnsi="宋体"/>
          <w:sz w:val="24"/>
        </w:rPr>
      </w:pPr>
      <w:r>
        <w:rPr>
          <w:rFonts w:hint="eastAsia" w:ascii="宋体" w:hAnsi="宋体"/>
          <w:sz w:val="24"/>
        </w:rPr>
        <w:t>27.5.1.2.3提供虚假的项目负责人或者主要技术人员简历、劳动关系证明；</w:t>
      </w:r>
    </w:p>
    <w:p>
      <w:pPr>
        <w:spacing w:line="360" w:lineRule="auto"/>
        <w:ind w:left="549"/>
        <w:rPr>
          <w:rFonts w:hint="eastAsia" w:ascii="宋体" w:hAnsi="宋体"/>
          <w:sz w:val="24"/>
        </w:rPr>
      </w:pPr>
      <w:r>
        <w:rPr>
          <w:rFonts w:hint="eastAsia" w:ascii="宋体" w:hAnsi="宋体"/>
          <w:sz w:val="24"/>
        </w:rPr>
        <w:t>27.5.1.2.4提供虚假的信用状况；</w:t>
      </w:r>
    </w:p>
    <w:p>
      <w:pPr>
        <w:spacing w:line="360" w:lineRule="auto"/>
        <w:ind w:left="549"/>
        <w:rPr>
          <w:rFonts w:hint="eastAsia" w:ascii="宋体" w:hAnsi="宋体"/>
          <w:sz w:val="24"/>
        </w:rPr>
      </w:pPr>
      <w:r>
        <w:rPr>
          <w:rFonts w:hint="eastAsia" w:ascii="宋体" w:hAnsi="宋体"/>
          <w:sz w:val="24"/>
        </w:rPr>
        <w:t>27.5.1.2.5其他弄虚作假的行为。</w:t>
      </w:r>
    </w:p>
    <w:p>
      <w:pPr>
        <w:spacing w:line="360" w:lineRule="auto"/>
        <w:ind w:left="549"/>
        <w:rPr>
          <w:rFonts w:hint="eastAsia" w:ascii="宋体" w:hAnsi="宋体"/>
          <w:sz w:val="24"/>
        </w:rPr>
      </w:pPr>
      <w:r>
        <w:rPr>
          <w:rFonts w:hint="eastAsia" w:ascii="宋体" w:hAnsi="宋体"/>
          <w:sz w:val="24"/>
        </w:rPr>
        <w:t>27.5.2与招标人、其他供应商或者</w:t>
      </w:r>
      <w:r>
        <w:rPr>
          <w:rFonts w:hint="eastAsia" w:ascii="宋体" w:hAnsi="宋体"/>
          <w:sz w:val="24"/>
          <w:szCs w:val="22"/>
          <w:lang w:eastAsia="zh-CN"/>
        </w:rPr>
        <w:t>安徽国翠玉艺股份有限公司</w:t>
      </w:r>
      <w:r>
        <w:rPr>
          <w:rFonts w:hint="eastAsia" w:ascii="宋体" w:hAnsi="宋体"/>
          <w:sz w:val="24"/>
        </w:rPr>
        <w:t>公司工作人员恶意串通的；</w:t>
      </w:r>
    </w:p>
    <w:p>
      <w:pPr>
        <w:spacing w:line="360" w:lineRule="auto"/>
        <w:ind w:left="549"/>
        <w:rPr>
          <w:rFonts w:hint="eastAsia" w:ascii="宋体" w:hAnsi="宋体"/>
          <w:sz w:val="24"/>
        </w:rPr>
      </w:pPr>
      <w:r>
        <w:rPr>
          <w:rFonts w:hint="eastAsia" w:ascii="宋体" w:hAnsi="宋体"/>
          <w:sz w:val="24"/>
        </w:rPr>
        <w:t>27.5.3向招标人、评审专家、</w:t>
      </w:r>
      <w:r>
        <w:rPr>
          <w:rFonts w:hint="eastAsia" w:ascii="宋体" w:hAnsi="宋体"/>
          <w:sz w:val="24"/>
          <w:szCs w:val="22"/>
          <w:lang w:eastAsia="zh-CN"/>
        </w:rPr>
        <w:t>安徽国翠玉艺股份有限公司</w:t>
      </w:r>
      <w:r>
        <w:rPr>
          <w:rFonts w:hint="eastAsia" w:ascii="宋体" w:hAnsi="宋体"/>
          <w:sz w:val="24"/>
        </w:rPr>
        <w:t>工作人员行贿或者提供其他不正当利益的；</w:t>
      </w:r>
    </w:p>
    <w:p>
      <w:pPr>
        <w:spacing w:line="360" w:lineRule="auto"/>
        <w:ind w:firstLine="549"/>
        <w:rPr>
          <w:rFonts w:hint="eastAsia" w:ascii="宋体" w:hAnsi="宋体"/>
          <w:sz w:val="24"/>
        </w:rPr>
      </w:pPr>
      <w:r>
        <w:rPr>
          <w:rFonts w:hint="eastAsia" w:ascii="宋体" w:hAnsi="宋体"/>
          <w:sz w:val="24"/>
        </w:rPr>
        <w:t>27.5.4有法律、法规规定的其他损害招标人利益和社会公共利益情形的；</w:t>
      </w:r>
    </w:p>
    <w:p>
      <w:pPr>
        <w:spacing w:line="360" w:lineRule="auto"/>
        <w:ind w:firstLine="549"/>
        <w:rPr>
          <w:rFonts w:hint="eastAsia" w:ascii="宋体" w:hAnsi="宋体"/>
          <w:sz w:val="24"/>
        </w:rPr>
      </w:pPr>
      <w:r>
        <w:rPr>
          <w:rFonts w:hint="eastAsia" w:ascii="宋体" w:hAnsi="宋体"/>
          <w:sz w:val="24"/>
        </w:rPr>
        <w:t>27.5.5其他违反招投标法律、法规和规章强制性规定的行为。</w:t>
      </w:r>
    </w:p>
    <w:p>
      <w:pPr>
        <w:spacing w:line="360" w:lineRule="auto"/>
        <w:ind w:firstLine="549"/>
        <w:rPr>
          <w:rFonts w:hint="eastAsia" w:ascii="宋体" w:hAnsi="宋体"/>
          <w:sz w:val="24"/>
        </w:rPr>
      </w:pPr>
      <w:r>
        <w:rPr>
          <w:rFonts w:hint="eastAsia" w:ascii="宋体" w:hAnsi="宋体"/>
          <w:sz w:val="24"/>
        </w:rPr>
        <w:t>27.6 定标前，</w:t>
      </w:r>
      <w:r>
        <w:rPr>
          <w:rFonts w:hint="eastAsia" w:ascii="宋体" w:hAnsi="宋体"/>
          <w:sz w:val="24"/>
          <w:szCs w:val="22"/>
          <w:lang w:eastAsia="zh-CN"/>
        </w:rPr>
        <w:t>安徽国翠玉艺股份有限公司</w:t>
      </w:r>
      <w:r>
        <w:rPr>
          <w:rFonts w:hint="eastAsia" w:ascii="宋体" w:hAnsi="宋体"/>
          <w:sz w:val="24"/>
        </w:rPr>
        <w:t>可能会同招标人对中标候选人进行约谈。约谈包括诚信承诺、履约承诺以及原件核查等内容，约谈确认中标候选人无法实质性响应招标文件要求的，中标无效。</w:t>
      </w:r>
    </w:p>
    <w:p>
      <w:pPr>
        <w:spacing w:line="360" w:lineRule="auto"/>
        <w:ind w:firstLine="549"/>
        <w:rPr>
          <w:rFonts w:hint="eastAsia" w:ascii="宋体" w:hAnsi="宋体"/>
          <w:sz w:val="24"/>
        </w:rPr>
      </w:pPr>
      <w:r>
        <w:rPr>
          <w:rFonts w:hint="eastAsia" w:ascii="宋体" w:hAnsi="宋体"/>
          <w:sz w:val="24"/>
        </w:rPr>
        <w:t>27.7</w:t>
      </w:r>
      <w:r>
        <w:rPr>
          <w:rFonts w:hint="eastAsia" w:ascii="宋体" w:hAnsi="宋体"/>
          <w:sz w:val="24"/>
          <w:szCs w:val="22"/>
          <w:lang w:eastAsia="zh-CN"/>
        </w:rPr>
        <w:t>安徽国翠玉艺股份有限公司</w:t>
      </w:r>
      <w:r>
        <w:rPr>
          <w:rFonts w:hint="eastAsia" w:ascii="宋体" w:hAnsi="宋体"/>
          <w:sz w:val="24"/>
        </w:rPr>
        <w:t>将在网站上发布评审结果公告，公示期为3个工作日，期满无异议则自动转为中标公告。</w:t>
      </w:r>
    </w:p>
    <w:p>
      <w:pPr>
        <w:spacing w:line="360" w:lineRule="auto"/>
        <w:ind w:firstLine="549"/>
        <w:rPr>
          <w:rFonts w:hint="eastAsia" w:ascii="宋体" w:hAnsi="宋体"/>
          <w:b/>
          <w:sz w:val="24"/>
        </w:rPr>
      </w:pPr>
      <w:r>
        <w:rPr>
          <w:rFonts w:hint="eastAsia" w:ascii="宋体" w:hAnsi="宋体"/>
          <w:b/>
          <w:sz w:val="24"/>
        </w:rPr>
        <w:t>28.中标通知书</w:t>
      </w:r>
    </w:p>
    <w:p>
      <w:pPr>
        <w:spacing w:line="360" w:lineRule="auto"/>
        <w:ind w:firstLine="549"/>
        <w:rPr>
          <w:rFonts w:hint="eastAsia" w:ascii="宋体" w:hAnsi="宋体"/>
          <w:sz w:val="24"/>
        </w:rPr>
      </w:pPr>
      <w:r>
        <w:rPr>
          <w:rFonts w:hint="eastAsia" w:ascii="宋体" w:hAnsi="宋体"/>
          <w:sz w:val="24"/>
        </w:rPr>
        <w:t>28</w:t>
      </w:r>
      <w:r>
        <w:rPr>
          <w:rFonts w:ascii="宋体" w:hAnsi="宋体"/>
          <w:sz w:val="24"/>
        </w:rPr>
        <w:t>.1</w:t>
      </w:r>
      <w:r>
        <w:rPr>
          <w:rFonts w:hint="eastAsia" w:ascii="宋体" w:hAnsi="宋体"/>
          <w:sz w:val="24"/>
          <w:szCs w:val="22"/>
          <w:lang w:eastAsia="zh-CN"/>
        </w:rPr>
        <w:t>安徽国翠玉艺股份有限公司</w:t>
      </w:r>
      <w:r>
        <w:rPr>
          <w:rFonts w:hint="eastAsia" w:ascii="宋体" w:hAnsi="宋体"/>
          <w:sz w:val="24"/>
        </w:rPr>
        <w:t>将以中标通知书形式通知中标人，其投标已被接受。</w:t>
      </w:r>
    </w:p>
    <w:p>
      <w:pPr>
        <w:spacing w:line="360" w:lineRule="auto"/>
        <w:ind w:firstLine="549"/>
        <w:rPr>
          <w:rFonts w:hint="eastAsia" w:ascii="宋体" w:hAnsi="宋体"/>
          <w:sz w:val="24"/>
        </w:rPr>
      </w:pPr>
      <w:r>
        <w:rPr>
          <w:rFonts w:hint="eastAsia" w:ascii="宋体" w:hAnsi="宋体"/>
          <w:sz w:val="24"/>
        </w:rPr>
        <w:t>28</w:t>
      </w:r>
      <w:r>
        <w:rPr>
          <w:rFonts w:ascii="宋体" w:hAnsi="宋体"/>
          <w:sz w:val="24"/>
        </w:rPr>
        <w:t>.</w:t>
      </w:r>
      <w:r>
        <w:rPr>
          <w:rFonts w:hint="eastAsia" w:ascii="宋体" w:hAnsi="宋体"/>
          <w:sz w:val="24"/>
        </w:rPr>
        <w:t>2</w:t>
      </w:r>
      <w:r>
        <w:rPr>
          <w:rFonts w:hint="eastAsia" w:ascii="宋体" w:hAnsi="宋体"/>
          <w:sz w:val="24"/>
          <w:szCs w:val="22"/>
          <w:lang w:eastAsia="zh-CN"/>
        </w:rPr>
        <w:t>安徽国翠玉艺股份有限公司</w:t>
      </w:r>
      <w:r>
        <w:rPr>
          <w:rFonts w:hint="eastAsia" w:ascii="宋体" w:hAnsi="宋体"/>
          <w:sz w:val="24"/>
        </w:rPr>
        <w:t>对未中标的投标人不做未中标原因的解释。</w:t>
      </w:r>
    </w:p>
    <w:p>
      <w:pPr>
        <w:spacing w:line="360" w:lineRule="auto"/>
        <w:ind w:firstLine="549"/>
        <w:rPr>
          <w:rFonts w:hint="eastAsia" w:ascii="宋体" w:hAnsi="宋体"/>
          <w:sz w:val="24"/>
        </w:rPr>
      </w:pPr>
      <w:r>
        <w:rPr>
          <w:rFonts w:hint="eastAsia" w:ascii="宋体" w:hAnsi="宋体"/>
          <w:sz w:val="24"/>
        </w:rPr>
        <w:t>28.3中标公示期满接</w:t>
      </w:r>
      <w:r>
        <w:rPr>
          <w:rFonts w:hint="eastAsia" w:ascii="宋体" w:hAnsi="宋体"/>
          <w:sz w:val="24"/>
          <w:szCs w:val="22"/>
          <w:lang w:eastAsia="zh-CN"/>
        </w:rPr>
        <w:t>安徽国翠玉艺股份有限公司</w:t>
      </w:r>
      <w:r>
        <w:rPr>
          <w:rFonts w:hint="eastAsia" w:ascii="宋体" w:hAnsi="宋体"/>
          <w:sz w:val="24"/>
        </w:rPr>
        <w:t>通知后，中标人请在3个工作日内委派专人凭介绍信或公司授权书（须携带身份证）到</w:t>
      </w:r>
      <w:r>
        <w:rPr>
          <w:rFonts w:hint="eastAsia" w:ascii="宋体" w:hAnsi="宋体"/>
          <w:bCs/>
          <w:sz w:val="24"/>
          <w:szCs w:val="18"/>
        </w:rPr>
        <w:t>桐城市</w:t>
      </w:r>
      <w:r>
        <w:rPr>
          <w:rFonts w:hint="eastAsia" w:ascii="宋体" w:hAnsi="宋体"/>
          <w:bCs/>
          <w:sz w:val="24"/>
          <w:szCs w:val="18"/>
          <w:u w:val="none"/>
          <w:lang w:eastAsia="zh-CN"/>
        </w:rPr>
        <w:t>物业办</w:t>
      </w:r>
      <w:r>
        <w:rPr>
          <w:rFonts w:hint="eastAsia" w:ascii="宋体" w:hAnsi="宋体"/>
          <w:sz w:val="24"/>
        </w:rPr>
        <w:t>领取中标通知书。</w:t>
      </w:r>
    </w:p>
    <w:p>
      <w:pPr>
        <w:spacing w:line="360" w:lineRule="auto"/>
        <w:ind w:firstLine="549"/>
        <w:rPr>
          <w:rFonts w:hint="eastAsia" w:ascii="宋体" w:hAnsi="宋体"/>
          <w:b/>
          <w:sz w:val="24"/>
        </w:rPr>
      </w:pPr>
      <w:r>
        <w:rPr>
          <w:rFonts w:hint="eastAsia" w:ascii="宋体" w:hAnsi="宋体"/>
          <w:b/>
          <w:sz w:val="24"/>
        </w:rPr>
        <w:t>29.签订合同</w:t>
      </w:r>
    </w:p>
    <w:p>
      <w:pPr>
        <w:spacing w:line="360" w:lineRule="auto"/>
        <w:ind w:firstLine="549"/>
        <w:rPr>
          <w:rFonts w:hint="eastAsia" w:ascii="宋体" w:hAnsi="宋体"/>
          <w:sz w:val="24"/>
        </w:rPr>
      </w:pPr>
      <w:r>
        <w:rPr>
          <w:rFonts w:hint="eastAsia" w:ascii="宋体" w:hAnsi="宋体"/>
          <w:sz w:val="24"/>
        </w:rPr>
        <w:t>29.1中标人应在中标通知书发出之日起三十日内（具体时间、地点见中标通知书）与招标人签订合同。招标文件、中标人的投标文件及澄清文件等，均作为合同的附件。</w:t>
      </w:r>
    </w:p>
    <w:p>
      <w:pPr>
        <w:spacing w:line="360" w:lineRule="auto"/>
        <w:ind w:firstLine="549"/>
        <w:rPr>
          <w:rFonts w:hint="eastAsia" w:ascii="宋体" w:hAnsi="宋体"/>
          <w:sz w:val="24"/>
        </w:rPr>
      </w:pPr>
      <w:r>
        <w:rPr>
          <w:rFonts w:hint="eastAsia" w:ascii="宋体" w:hAnsi="宋体"/>
          <w:sz w:val="24"/>
        </w:rPr>
        <w:t>29.2 招标双方必须严格按照招标文件、投标文件及有关承诺签订合同，不得擅自变更。合同的标的、价款、质量、履行期限等主要条款应当与招标文件和中标人的投标文件的内容一致，招标人和中标人不得再行订立背离合同实质性内容的其他协议。对任何因双方擅自变更合同引起的问题</w:t>
      </w:r>
      <w:r>
        <w:rPr>
          <w:rFonts w:hint="eastAsia" w:ascii="宋体" w:hAnsi="宋体"/>
          <w:sz w:val="24"/>
          <w:szCs w:val="22"/>
          <w:lang w:eastAsia="zh-CN"/>
        </w:rPr>
        <w:t>安徽国翠玉艺股份有限公司</w:t>
      </w:r>
      <w:r>
        <w:rPr>
          <w:rFonts w:hint="eastAsia" w:ascii="宋体" w:hAnsi="宋体"/>
          <w:sz w:val="24"/>
        </w:rPr>
        <w:t>概不负责，合同风险由双方自行承担。</w:t>
      </w:r>
    </w:p>
    <w:p>
      <w:pPr>
        <w:spacing w:line="360" w:lineRule="auto"/>
        <w:ind w:firstLine="523" w:firstLineChars="218"/>
        <w:rPr>
          <w:rFonts w:hint="eastAsia" w:ascii="宋体" w:hAnsi="宋体"/>
          <w:sz w:val="24"/>
        </w:rPr>
      </w:pPr>
      <w:r>
        <w:rPr>
          <w:rFonts w:hint="eastAsia" w:ascii="宋体" w:hAnsi="宋体"/>
          <w:sz w:val="24"/>
        </w:rPr>
        <w:t>29.3招标人保留以书面形式要求合同的卖方对其所投服务的方式、地点及服务细则等作适当调整的权利。</w:t>
      </w:r>
    </w:p>
    <w:p>
      <w:pPr>
        <w:spacing w:line="360" w:lineRule="auto"/>
        <w:ind w:firstLine="523" w:firstLineChars="218"/>
        <w:rPr>
          <w:rFonts w:hint="eastAsia" w:ascii="宋体" w:hAnsi="宋体"/>
          <w:bCs/>
          <w:sz w:val="24"/>
        </w:rPr>
      </w:pPr>
      <w:r>
        <w:rPr>
          <w:rFonts w:hint="eastAsia" w:ascii="宋体" w:hAnsi="宋体"/>
          <w:sz w:val="24"/>
        </w:rPr>
        <w:t>29.4</w:t>
      </w:r>
      <w:r>
        <w:rPr>
          <w:rFonts w:hint="eastAsia" w:ascii="宋体" w:hAnsi="宋体"/>
          <w:bCs/>
          <w:sz w:val="24"/>
        </w:rPr>
        <w:t>无论基于何种原因，各项本应作拒绝处理的情形即便未被及时发现而使该投标人进入初审、详细评审或其它后续程序，包括已经签约的情形，一旦在任何时间被发现，</w:t>
      </w:r>
      <w:r>
        <w:rPr>
          <w:rFonts w:hint="eastAsia" w:ascii="宋体" w:hAnsi="宋体"/>
          <w:sz w:val="24"/>
          <w:szCs w:val="22"/>
          <w:lang w:eastAsia="zh-CN"/>
        </w:rPr>
        <w:t>安徽国翠玉艺股份有限公司</w:t>
      </w:r>
      <w:r>
        <w:rPr>
          <w:rFonts w:hint="eastAsia" w:ascii="宋体" w:hAnsi="宋体"/>
          <w:bCs/>
          <w:sz w:val="24"/>
        </w:rPr>
        <w:t>公司均有权决定是否取消该投标人此前评议的结果或是否对该报价予以拒绝，并有权采取相应的补救或纠正措施。一旦该投标人被拒绝或被取消此前评议结果，其现有的位置将被其他投标人依序替代或重新组织招标，相关的一切损失均由该投标人自行承担。</w:t>
      </w:r>
    </w:p>
    <w:p>
      <w:pPr>
        <w:spacing w:line="360" w:lineRule="auto"/>
        <w:ind w:firstLine="549"/>
        <w:rPr>
          <w:rFonts w:hint="eastAsia" w:ascii="宋体" w:hAnsi="宋体"/>
          <w:b/>
          <w:bCs/>
          <w:sz w:val="24"/>
        </w:rPr>
      </w:pPr>
      <w:r>
        <w:rPr>
          <w:rFonts w:hint="eastAsia" w:ascii="宋体" w:hAnsi="宋体"/>
          <w:b/>
          <w:bCs/>
          <w:sz w:val="24"/>
        </w:rPr>
        <w:t>33</w:t>
      </w:r>
      <w:r>
        <w:rPr>
          <w:rFonts w:hint="eastAsia" w:ascii="宋体" w:hAnsi="宋体"/>
          <w:b/>
          <w:sz w:val="24"/>
        </w:rPr>
        <w:t>.</w:t>
      </w:r>
      <w:r>
        <w:rPr>
          <w:rFonts w:hint="eastAsia" w:ascii="宋体" w:hAnsi="宋体"/>
          <w:b/>
          <w:bCs/>
          <w:sz w:val="24"/>
        </w:rPr>
        <w:t>异议</w:t>
      </w:r>
    </w:p>
    <w:p>
      <w:pPr>
        <w:spacing w:line="360" w:lineRule="auto"/>
        <w:ind w:firstLine="523" w:firstLineChars="218"/>
        <w:rPr>
          <w:rFonts w:hint="eastAsia" w:ascii="宋体" w:hAnsi="宋体"/>
          <w:bCs/>
          <w:sz w:val="24"/>
        </w:rPr>
      </w:pPr>
      <w:r>
        <w:rPr>
          <w:rFonts w:hint="eastAsia" w:ascii="宋体" w:hAnsi="宋体"/>
          <w:bCs/>
          <w:sz w:val="24"/>
        </w:rPr>
        <w:t>33.1</w:t>
      </w:r>
      <w:r>
        <w:rPr>
          <w:rFonts w:ascii="宋体" w:hAnsi="宋体"/>
          <w:bCs/>
          <w:sz w:val="24"/>
        </w:rPr>
        <w:t>投标人或者其他利害关系人对依法必须进行招标的项目的评标结果有异议的，应当在中标候选人公示期间</w:t>
      </w:r>
      <w:r>
        <w:rPr>
          <w:rFonts w:hint="eastAsia" w:ascii="宋体" w:hAnsi="宋体"/>
          <w:bCs/>
          <w:sz w:val="24"/>
        </w:rPr>
        <w:t>，由投标人授权代表（或法定代表人）携带身份证明材料，以书面形式向</w:t>
      </w:r>
      <w:r>
        <w:rPr>
          <w:rFonts w:hint="eastAsia" w:ascii="宋体" w:hAnsi="宋体"/>
          <w:sz w:val="24"/>
          <w:szCs w:val="22"/>
          <w:lang w:eastAsia="zh-CN"/>
        </w:rPr>
        <w:t>安徽国翠玉艺股份有限公司</w:t>
      </w:r>
      <w:r>
        <w:rPr>
          <w:rFonts w:hint="eastAsia" w:ascii="宋体" w:hAnsi="宋体"/>
          <w:bCs/>
          <w:sz w:val="24"/>
        </w:rPr>
        <w:t>提出异议，逾期不予受理。</w:t>
      </w:r>
    </w:p>
    <w:p>
      <w:pPr>
        <w:spacing w:line="360" w:lineRule="auto"/>
        <w:ind w:firstLine="523" w:firstLineChars="218"/>
        <w:rPr>
          <w:rFonts w:hint="eastAsia" w:ascii="宋体" w:hAnsi="宋体"/>
          <w:bCs/>
          <w:sz w:val="24"/>
        </w:rPr>
      </w:pPr>
      <w:r>
        <w:rPr>
          <w:rFonts w:hint="eastAsia" w:ascii="宋体" w:hAnsi="宋体"/>
          <w:bCs/>
          <w:sz w:val="24"/>
        </w:rPr>
        <w:t>33.2异议书内容应包括异议的详细理由和依据，并提供有关证明资料。</w:t>
      </w:r>
    </w:p>
    <w:p>
      <w:pPr>
        <w:spacing w:line="360" w:lineRule="auto"/>
        <w:ind w:firstLine="523" w:firstLineChars="218"/>
        <w:rPr>
          <w:rFonts w:hint="eastAsia" w:ascii="宋体" w:hAnsi="宋体"/>
          <w:bCs/>
          <w:sz w:val="24"/>
        </w:rPr>
      </w:pPr>
      <w:r>
        <w:rPr>
          <w:rFonts w:hint="eastAsia" w:ascii="宋体" w:hAnsi="宋体"/>
          <w:bCs/>
          <w:sz w:val="24"/>
        </w:rPr>
        <w:t>33.3 有以下情形之一的，视为无效异议：</w:t>
      </w:r>
    </w:p>
    <w:p>
      <w:pPr>
        <w:spacing w:line="360" w:lineRule="auto"/>
        <w:ind w:firstLine="523" w:firstLineChars="218"/>
        <w:rPr>
          <w:rFonts w:hint="eastAsia" w:ascii="宋体" w:hAnsi="宋体"/>
          <w:bCs/>
          <w:sz w:val="24"/>
        </w:rPr>
      </w:pPr>
      <w:r>
        <w:rPr>
          <w:rFonts w:hint="eastAsia" w:ascii="宋体" w:hAnsi="宋体"/>
          <w:bCs/>
          <w:sz w:val="24"/>
        </w:rPr>
        <w:t>33.3.1 未按规定时间或规定手续提交异议的；</w:t>
      </w:r>
    </w:p>
    <w:p>
      <w:pPr>
        <w:spacing w:line="360" w:lineRule="auto"/>
        <w:ind w:firstLine="523" w:firstLineChars="218"/>
        <w:rPr>
          <w:rFonts w:hint="eastAsia" w:ascii="宋体" w:hAnsi="宋体"/>
          <w:bCs/>
          <w:sz w:val="24"/>
        </w:rPr>
      </w:pPr>
      <w:r>
        <w:rPr>
          <w:rFonts w:hint="eastAsia" w:ascii="宋体" w:hAnsi="宋体"/>
          <w:bCs/>
          <w:sz w:val="24"/>
        </w:rPr>
        <w:t>33.3.2 异议内容含糊不清、没有提供详细理由和依据，无法进行核查的；</w:t>
      </w:r>
    </w:p>
    <w:p>
      <w:pPr>
        <w:spacing w:line="360" w:lineRule="auto"/>
        <w:ind w:firstLine="523" w:firstLineChars="218"/>
        <w:rPr>
          <w:rFonts w:hint="eastAsia" w:ascii="宋体" w:hAnsi="宋体"/>
          <w:bCs/>
          <w:sz w:val="24"/>
        </w:rPr>
      </w:pPr>
      <w:r>
        <w:rPr>
          <w:rFonts w:hint="eastAsia" w:ascii="宋体" w:hAnsi="宋体"/>
          <w:bCs/>
          <w:sz w:val="24"/>
        </w:rPr>
        <w:t>33.3.3 其他不符合异议程序和有关规定的。</w:t>
      </w:r>
    </w:p>
    <w:p>
      <w:pPr>
        <w:spacing w:line="360" w:lineRule="auto"/>
        <w:ind w:firstLine="523" w:firstLineChars="218"/>
        <w:rPr>
          <w:rFonts w:hint="eastAsia" w:ascii="宋体" w:hAnsi="宋体"/>
          <w:bCs/>
          <w:sz w:val="24"/>
        </w:rPr>
      </w:pPr>
      <w:r>
        <w:rPr>
          <w:rFonts w:hint="eastAsia" w:ascii="宋体" w:hAnsi="宋体"/>
          <w:bCs/>
          <w:sz w:val="24"/>
        </w:rPr>
        <w:t>被判定无效异议的，</w:t>
      </w:r>
      <w:r>
        <w:rPr>
          <w:rFonts w:hint="eastAsia" w:ascii="宋体" w:hAnsi="宋体"/>
          <w:sz w:val="24"/>
          <w:szCs w:val="22"/>
          <w:lang w:eastAsia="zh-CN"/>
        </w:rPr>
        <w:t>安徽国翠玉艺股份有限公司</w:t>
      </w:r>
      <w:r>
        <w:rPr>
          <w:rFonts w:hint="eastAsia" w:ascii="宋体" w:hAnsi="宋体"/>
          <w:bCs/>
          <w:sz w:val="24"/>
        </w:rPr>
        <w:t>将书面回复投标单位其异议无效的理由，并记录无效异议一次。</w:t>
      </w:r>
    </w:p>
    <w:p>
      <w:pPr>
        <w:spacing w:line="360" w:lineRule="auto"/>
        <w:ind w:firstLine="523" w:firstLineChars="218"/>
        <w:rPr>
          <w:rFonts w:hint="eastAsia" w:ascii="宋体" w:hAnsi="宋体"/>
          <w:bCs/>
          <w:sz w:val="24"/>
        </w:rPr>
      </w:pPr>
      <w:r>
        <w:rPr>
          <w:rFonts w:hint="eastAsia" w:ascii="宋体" w:hAnsi="宋体"/>
          <w:bCs/>
          <w:sz w:val="24"/>
        </w:rPr>
        <w:t>33.4</w:t>
      </w:r>
      <w:r>
        <w:rPr>
          <w:rFonts w:hint="eastAsia" w:ascii="宋体" w:hAnsi="宋体"/>
          <w:sz w:val="24"/>
          <w:szCs w:val="22"/>
          <w:lang w:eastAsia="zh-CN"/>
        </w:rPr>
        <w:t>安徽国翠玉艺股份有限公司</w:t>
      </w:r>
      <w:r>
        <w:rPr>
          <w:rFonts w:hint="eastAsia" w:ascii="宋体" w:hAnsi="宋体"/>
          <w:bCs/>
          <w:sz w:val="24"/>
        </w:rPr>
        <w:t>将在受到书面质疑后3个工作日内审查异议事项，作出答复或相关处理决定，并以书面形式通知异议人，但答复的内容不涉及商业秘密。</w:t>
      </w:r>
    </w:p>
    <w:p>
      <w:pPr>
        <w:spacing w:line="360" w:lineRule="auto"/>
        <w:ind w:firstLine="549"/>
        <w:rPr>
          <w:rFonts w:hint="eastAsia" w:ascii="宋体" w:hAnsi="宋体"/>
          <w:b/>
          <w:sz w:val="24"/>
        </w:rPr>
      </w:pPr>
      <w:r>
        <w:rPr>
          <w:rFonts w:hint="eastAsia" w:ascii="宋体" w:hAnsi="宋体"/>
          <w:b/>
          <w:sz w:val="24"/>
        </w:rPr>
        <w:t>34.未尽事宜</w:t>
      </w:r>
    </w:p>
    <w:p>
      <w:pPr>
        <w:spacing w:line="360" w:lineRule="auto"/>
        <w:ind w:firstLine="549"/>
        <w:rPr>
          <w:rFonts w:hint="eastAsia" w:ascii="宋体" w:hAnsi="宋体"/>
          <w:sz w:val="24"/>
        </w:rPr>
      </w:pPr>
      <w:r>
        <w:rPr>
          <w:rFonts w:hint="eastAsia" w:ascii="宋体" w:hAnsi="宋体"/>
          <w:sz w:val="24"/>
        </w:rPr>
        <w:t>34.1按《中华人民共和国招标投标法》及其他有关法律法规的规定执行。</w:t>
      </w:r>
    </w:p>
    <w:p>
      <w:pPr>
        <w:spacing w:line="360" w:lineRule="auto"/>
        <w:ind w:firstLine="549"/>
        <w:rPr>
          <w:rFonts w:hint="eastAsia" w:ascii="宋体" w:hAnsi="宋体"/>
          <w:bCs/>
          <w:sz w:val="24"/>
        </w:rPr>
      </w:pPr>
      <w:r>
        <w:rPr>
          <w:rFonts w:hint="eastAsia" w:ascii="宋体" w:hAnsi="宋体"/>
          <w:b/>
          <w:sz w:val="24"/>
        </w:rPr>
        <w:t>35.解释权</w:t>
      </w:r>
    </w:p>
    <w:p>
      <w:pPr>
        <w:spacing w:line="360" w:lineRule="auto"/>
        <w:ind w:firstLine="549"/>
        <w:rPr>
          <w:rFonts w:hint="eastAsia" w:ascii="宋体" w:hAnsi="宋体" w:eastAsia="宋体"/>
          <w:b/>
          <w:sz w:val="24"/>
          <w:szCs w:val="24"/>
          <w:lang w:eastAsia="zh-CN"/>
        </w:rPr>
      </w:pPr>
      <w:r>
        <w:rPr>
          <w:rFonts w:hint="eastAsia" w:ascii="宋体" w:hAnsi="宋体"/>
          <w:bCs/>
          <w:sz w:val="24"/>
        </w:rPr>
        <w:t>35.1本招标文件的解释权属于</w:t>
      </w:r>
      <w:r>
        <w:rPr>
          <w:rFonts w:hint="eastAsia" w:ascii="宋体" w:hAnsi="宋体"/>
          <w:sz w:val="24"/>
          <w:szCs w:val="22"/>
          <w:lang w:eastAsia="zh-CN"/>
        </w:rPr>
        <w:t>安徽国翠玉艺股份有限公司</w:t>
      </w:r>
    </w:p>
    <w:sectPr>
      <w:headerReference r:id="rId7" w:type="first"/>
      <w:footerReference r:id="rId9" w:type="first"/>
      <w:headerReference r:id="rId6" w:type="default"/>
      <w:footerReference r:id="rId8" w:type="default"/>
      <w:pgSz w:w="11907" w:h="16840"/>
      <w:pgMar w:top="1440" w:right="1106" w:bottom="936" w:left="1797" w:header="720" w:footer="720" w:gutter="0"/>
      <w:cols w:space="720" w:num="1"/>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楷体_GB2312">
    <w:altName w:val="楷体"/>
    <w:panose1 w:val="02010609030101010101"/>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幼圆">
    <w:panose1 w:val="02010509060101010101"/>
    <w:charset w:val="86"/>
    <w:family w:val="modern"/>
    <w:pitch w:val="default"/>
    <w:sig w:usb0="00000001" w:usb1="080E0000" w:usb2="00000000" w:usb3="00000000" w:csb0="00040000" w:csb1="00000000"/>
  </w:font>
  <w:font w:name="Tahoma">
    <w:panose1 w:val="020B0604030504040204"/>
    <w:charset w:val="00"/>
    <w:family w:val="swiss"/>
    <w:pitch w:val="default"/>
    <w:sig w:usb0="E1002EFF" w:usb1="C000605B" w:usb2="00000029" w:usb3="00000000" w:csb0="200101FF" w:csb1="20280000"/>
  </w:font>
  <w:font w:name="新宋体">
    <w:panose1 w:val="02010609030101010101"/>
    <w:charset w:val="86"/>
    <w:family w:val="modern"/>
    <w:pitch w:val="default"/>
    <w:sig w:usb0="00000283" w:usb1="288F0000" w:usb2="00000006" w:usb3="00000000" w:csb0="00040001" w:csb1="00000000"/>
  </w:font>
  <w:font w:name="宋体-18030">
    <w:altName w:val="微软雅黑"/>
    <w:panose1 w:val="02010609060101010101"/>
    <w:charset w:val="86"/>
    <w:family w:val="modern"/>
    <w:pitch w:val="default"/>
    <w:sig w:usb0="00000000" w:usb1="00000000" w:usb2="000A005E" w:usb3="00000000" w:csb0="0004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jc w:val="center"/>
      <w:rPr>
        <w:rFonts w:ascii="宋体" w:hAnsi="宋体"/>
        <w:sz w:val="24"/>
      </w:rPr>
    </w:pPr>
    <w:r>
      <w:rPr>
        <w:sz w:val="24"/>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31"/>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31</w:t>
                          </w:r>
                          <w:r>
                            <w:fldChar w:fldCharType="end"/>
                          </w:r>
                          <w:r>
                            <w:t xml:space="preserve"> 页</w:t>
                          </w:r>
                        </w:p>
                      </w:txbxContent>
                    </wps:txbx>
                    <wps:bodyPr wrap="none" lIns="0" tIns="0" rIns="0" bIns="0" upright="0">
                      <a:spAutoFit/>
                    </wps:bodyPr>
                  </wps:wsp>
                </a:graphicData>
              </a:graphic>
            </wp:anchor>
          </w:drawing>
        </mc:Choice>
        <mc:Fallback>
          <w:pict>
            <v:shape id="文本框 2"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OdtC+LIAQAAmQMAAA4AAAAAAAAAAQAgAAAAHgEAAGRycy9lMm9Eb2Mu&#10;eG1sUEsFBgAAAAAGAAYAWQEAAFgFAAAAAA==&#10;">
              <v:fill on="f" focussize="0,0"/>
              <v:stroke on="f"/>
              <v:imagedata o:title=""/>
              <o:lock v:ext="edit" aspectratio="f"/>
              <v:textbox inset="0mm,0mm,0mm,0mm" style="mso-fit-shape-to-text:t;">
                <w:txbxContent>
                  <w:p>
                    <w:pPr>
                      <w:pStyle w:val="31"/>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31</w:t>
                    </w:r>
                    <w:r>
                      <w:fldChar w:fldCharType="end"/>
                    </w:r>
                    <w:r>
                      <w:t xml:space="preserve"> 页</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framePr w:wrap="around" w:vAnchor="text" w:hAnchor="margin" w:xAlign="center" w:y="1"/>
      <w:rPr>
        <w:rStyle w:val="53"/>
      </w:rPr>
    </w:pPr>
    <w:r>
      <w:fldChar w:fldCharType="begin"/>
    </w:r>
    <w:r>
      <w:rPr>
        <w:rStyle w:val="53"/>
      </w:rPr>
      <w:instrText xml:space="preserve">PAGE  </w:instrText>
    </w:r>
    <w:r>
      <w:fldChar w:fldCharType="end"/>
    </w:r>
  </w:p>
  <w:p>
    <w:pPr>
      <w:pStyle w:val="31"/>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jc w:val="center"/>
      <w:rPr>
        <w:rFonts w:ascii="宋体" w:hAnsi="宋体"/>
        <w:sz w:val="24"/>
      </w:rPr>
    </w:pPr>
    <w:r>
      <w:rPr>
        <w:sz w:val="24"/>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31"/>
                          </w:pPr>
                          <w:r>
                            <w:t xml:space="preserve">第 </w:t>
                          </w:r>
                          <w:r>
                            <w:fldChar w:fldCharType="begin"/>
                          </w:r>
                          <w:r>
                            <w:instrText xml:space="preserve"> PAGE  \* MERGEFORMAT </w:instrText>
                          </w:r>
                          <w:r>
                            <w:fldChar w:fldCharType="separate"/>
                          </w:r>
                          <w:r>
                            <w:t>8</w:t>
                          </w:r>
                          <w:r>
                            <w:fldChar w:fldCharType="end"/>
                          </w:r>
                          <w:r>
                            <w:t xml:space="preserve"> 页 共 </w:t>
                          </w:r>
                          <w:r>
                            <w:fldChar w:fldCharType="begin"/>
                          </w:r>
                          <w:r>
                            <w:instrText xml:space="preserve"> NUMPAGES  \* MERGEFORMAT </w:instrText>
                          </w:r>
                          <w:r>
                            <w:fldChar w:fldCharType="separate"/>
                          </w:r>
                          <w:r>
                            <w:t>31</w:t>
                          </w:r>
                          <w:r>
                            <w:fldChar w:fldCharType="end"/>
                          </w:r>
                          <w:r>
                            <w:t xml:space="preserve"> 页</w:t>
                          </w:r>
                        </w:p>
                      </w:txbxContent>
                    </wps:txbx>
                    <wps:bodyPr wrap="none" lIns="0" tIns="0" rIns="0" bIns="0" upright="0">
                      <a:spAutoFit/>
                    </wps:bodyPr>
                  </wps:wsp>
                </a:graphicData>
              </a:graphic>
            </wp:anchor>
          </w:drawing>
        </mc:Choice>
        <mc:Fallback>
          <w:pict>
            <v:shape id="文本框 3"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D1THSMyQEAAJkDAAAOAAAAAAAAAAEAIAAAAB4BAABkcnMvZTJvRG9j&#10;LnhtbFBLBQYAAAAABgAGAFkBAABZBQAAAAA=&#10;">
              <v:fill on="f" focussize="0,0"/>
              <v:stroke on="f"/>
              <v:imagedata o:title=""/>
              <o:lock v:ext="edit" aspectratio="f"/>
              <v:textbox inset="0mm,0mm,0mm,0mm" style="mso-fit-shape-to-text:t;">
                <w:txbxContent>
                  <w:p>
                    <w:pPr>
                      <w:pStyle w:val="31"/>
                    </w:pPr>
                    <w:r>
                      <w:t xml:space="preserve">第 </w:t>
                    </w:r>
                    <w:r>
                      <w:fldChar w:fldCharType="begin"/>
                    </w:r>
                    <w:r>
                      <w:instrText xml:space="preserve"> PAGE  \* MERGEFORMAT </w:instrText>
                    </w:r>
                    <w:r>
                      <w:fldChar w:fldCharType="separate"/>
                    </w:r>
                    <w:r>
                      <w:t>8</w:t>
                    </w:r>
                    <w:r>
                      <w:fldChar w:fldCharType="end"/>
                    </w:r>
                    <w:r>
                      <w:t xml:space="preserve"> 页 共 </w:t>
                    </w:r>
                    <w:r>
                      <w:fldChar w:fldCharType="begin"/>
                    </w:r>
                    <w:r>
                      <w:instrText xml:space="preserve"> NUMPAGES  \* MERGEFORMAT </w:instrText>
                    </w:r>
                    <w:r>
                      <w:fldChar w:fldCharType="separate"/>
                    </w:r>
                    <w:r>
                      <w:t>31</w:t>
                    </w:r>
                    <w:r>
                      <w:fldChar w:fldCharType="end"/>
                    </w:r>
                    <w:r>
                      <w:t xml:space="preserve"> 页</w:t>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31"/>
                          </w:pPr>
                          <w:r>
                            <w:t xml:space="preserve">第 </w:t>
                          </w:r>
                          <w:r>
                            <w:fldChar w:fldCharType="begin"/>
                          </w:r>
                          <w:r>
                            <w:instrText xml:space="preserve"> PAGE  \* MERGEFORMAT </w:instrText>
                          </w:r>
                          <w:r>
                            <w:fldChar w:fldCharType="separate"/>
                          </w:r>
                          <w:r>
                            <w:t>7</w:t>
                          </w:r>
                          <w:r>
                            <w:fldChar w:fldCharType="end"/>
                          </w:r>
                          <w:r>
                            <w:t xml:space="preserve"> 页 共 </w:t>
                          </w:r>
                          <w:r>
                            <w:fldChar w:fldCharType="begin"/>
                          </w:r>
                          <w:r>
                            <w:instrText xml:space="preserve"> NUMPAGES  \* MERGEFORMAT </w:instrText>
                          </w:r>
                          <w:r>
                            <w:fldChar w:fldCharType="separate"/>
                          </w:r>
                          <w:r>
                            <w:t>31</w:t>
                          </w:r>
                          <w:r>
                            <w:fldChar w:fldCharType="end"/>
                          </w:r>
                          <w:r>
                            <w:t xml:space="preserve"> 页</w:t>
                          </w:r>
                        </w:p>
                      </w:txbxContent>
                    </wps:txbx>
                    <wps:bodyPr wrap="none" lIns="0" tIns="0" rIns="0" bIns="0" upright="0">
                      <a:spAutoFit/>
                    </wps:bodyPr>
                  </wps:wsp>
                </a:graphicData>
              </a:graphic>
            </wp:anchor>
          </w:drawing>
        </mc:Choice>
        <mc:Fallback>
          <w:pict>
            <v:shape id="文本框 4"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ADtCjgyQEAAJkDAAAOAAAAAAAAAAEAIAAAAB4BAABkcnMvZTJvRG9j&#10;LnhtbFBLBQYAAAAABgAGAFkBAABZBQAAAAA=&#10;">
              <v:fill on="f" focussize="0,0"/>
              <v:stroke on="f"/>
              <v:imagedata o:title=""/>
              <o:lock v:ext="edit" aspectratio="f"/>
              <v:textbox inset="0mm,0mm,0mm,0mm" style="mso-fit-shape-to-text:t;">
                <w:txbxContent>
                  <w:p>
                    <w:pPr>
                      <w:pStyle w:val="31"/>
                    </w:pPr>
                    <w:r>
                      <w:t xml:space="preserve">第 </w:t>
                    </w:r>
                    <w:r>
                      <w:fldChar w:fldCharType="begin"/>
                    </w:r>
                    <w:r>
                      <w:instrText xml:space="preserve"> PAGE  \* MERGEFORMAT </w:instrText>
                    </w:r>
                    <w:r>
                      <w:fldChar w:fldCharType="separate"/>
                    </w:r>
                    <w:r>
                      <w:t>7</w:t>
                    </w:r>
                    <w:r>
                      <w:fldChar w:fldCharType="end"/>
                    </w:r>
                    <w:r>
                      <w:t xml:space="preserve"> 页 共 </w:t>
                    </w:r>
                    <w:r>
                      <w:fldChar w:fldCharType="begin"/>
                    </w:r>
                    <w:r>
                      <w:instrText xml:space="preserve"> NUMPAGES  \* MERGEFORMAT </w:instrText>
                    </w:r>
                    <w:r>
                      <w:fldChar w:fldCharType="separate"/>
                    </w:r>
                    <w:r>
                      <w:t>31</w:t>
                    </w:r>
                    <w:r>
                      <w:fldChar w:fldCharType="end"/>
                    </w:r>
                    <w:r>
                      <w:t xml:space="preserve"> 页</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2"/>
      <w:pBdr>
        <w:bottom w:val="none" w:color="auto" w:sz="0" w:space="1"/>
      </w:pBdr>
      <w:jc w:val="both"/>
      <w:rPr>
        <w:rFonts w:hint="eastAsia"/>
      </w:rPr>
    </w:pPr>
  </w:p>
  <w:p>
    <w:pPr>
      <w:pStyle w:val="32"/>
      <w:pBdr>
        <w:bottom w:val="none" w:color="auto" w:sz="0" w:space="1"/>
      </w:pBdr>
      <w:jc w:val="right"/>
      <w:rPr>
        <w:rFonts w:hint="eastAsia"/>
      </w:rPr>
    </w:pPr>
    <w:r>
      <w:rPr>
        <w:rFonts w:hint="eastAsia"/>
        <w:lang w:eastAsia="zh-CN"/>
      </w:rPr>
      <w:t xml:space="preserve"> 桐城玉雕文化产业园</w:t>
    </w:r>
    <w:r>
      <w:rPr>
        <w:rFonts w:hint="eastAsia"/>
      </w:rPr>
      <w:t>前期物业管理招标文件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6"/>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rPr>
        <w:color w:val="FF0000"/>
        <w:sz w:val="18"/>
        <w:szCs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5"/>
    <w:multiLevelType w:val="multilevel"/>
    <w:tmpl w:val="00000005"/>
    <w:lvl w:ilvl="0" w:tentative="0">
      <w:start w:val="1"/>
      <w:numFmt w:val="decimal"/>
      <w:pStyle w:val="74"/>
      <w:lvlText w:val="%1."/>
      <w:lvlJc w:val="left"/>
      <w:pPr>
        <w:tabs>
          <w:tab w:val="left" w:pos="709"/>
        </w:tabs>
        <w:ind w:left="709" w:hanging="709"/>
      </w:pPr>
      <w:rPr>
        <w:rFonts w:hint="eastAsia"/>
      </w:rPr>
    </w:lvl>
    <w:lvl w:ilvl="1" w:tentative="0">
      <w:start w:val="1"/>
      <w:numFmt w:val="decimal"/>
      <w:lvlText w:val="%1.%2"/>
      <w:lvlJc w:val="left"/>
      <w:pPr>
        <w:tabs>
          <w:tab w:val="left" w:pos="709"/>
        </w:tabs>
        <w:ind w:left="709" w:hanging="709"/>
      </w:pPr>
      <w:rPr>
        <w:rFonts w:hint="eastAsia"/>
      </w:rPr>
    </w:lvl>
    <w:lvl w:ilvl="2" w:tentative="0">
      <w:start w:val="1"/>
      <w:numFmt w:val="decimal"/>
      <w:lvlText w:val="%1.%2.%3."/>
      <w:lvlJc w:val="left"/>
      <w:pPr>
        <w:tabs>
          <w:tab w:val="left" w:pos="425"/>
        </w:tabs>
        <w:ind w:left="425" w:hanging="425"/>
      </w:pPr>
      <w:rPr>
        <w:rFonts w:hint="eastAsia"/>
      </w:rPr>
    </w:lvl>
    <w:lvl w:ilvl="3" w:tentative="0">
      <w:start w:val="1"/>
      <w:numFmt w:val="decimal"/>
      <w:lvlText w:val="%1.%2.%3.%4."/>
      <w:lvlJc w:val="left"/>
      <w:pPr>
        <w:tabs>
          <w:tab w:val="left" w:pos="851"/>
        </w:tabs>
        <w:ind w:left="851" w:hanging="851"/>
      </w:pPr>
      <w:rPr>
        <w:rFonts w:hint="eastAsia"/>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1">
    <w:nsid w:val="2E4F3A11"/>
    <w:multiLevelType w:val="multilevel"/>
    <w:tmpl w:val="2E4F3A11"/>
    <w:lvl w:ilvl="0" w:tentative="0">
      <w:start w:val="1"/>
      <w:numFmt w:val="decimal"/>
      <w:pStyle w:val="79"/>
      <w:lvlText w:val="%1"/>
      <w:lvlJc w:val="left"/>
      <w:pPr>
        <w:tabs>
          <w:tab w:val="left" w:pos="425"/>
        </w:tabs>
        <w:ind w:left="425" w:hanging="425"/>
      </w:pPr>
      <w:rPr>
        <w:rFonts w:hint="default" w:ascii="Arial" w:hAnsi="Arial" w:eastAsia="黑体" w:cs="Times New Roman"/>
        <w:b w:val="0"/>
        <w:i w:val="0"/>
        <w:sz w:val="28"/>
        <w:szCs w:val="28"/>
      </w:rPr>
    </w:lvl>
    <w:lvl w:ilvl="1" w:tentative="0">
      <w:start w:val="1"/>
      <w:numFmt w:val="decimal"/>
      <w:pStyle w:val="80"/>
      <w:lvlText w:val="%1.%2"/>
      <w:lvlJc w:val="left"/>
      <w:pPr>
        <w:tabs>
          <w:tab w:val="left" w:pos="992"/>
        </w:tabs>
        <w:ind w:left="992" w:hanging="567"/>
      </w:pPr>
      <w:rPr>
        <w:rFonts w:hint="default" w:ascii="Arial" w:hAnsi="Arial" w:eastAsia="黑体" w:cs="Times New Roman"/>
        <w:b w:val="0"/>
        <w:i w:val="0"/>
        <w:sz w:val="24"/>
        <w:szCs w:val="24"/>
      </w:rPr>
    </w:lvl>
    <w:lvl w:ilvl="2" w:tentative="0">
      <w:start w:val="1"/>
      <w:numFmt w:val="decimal"/>
      <w:pStyle w:val="78"/>
      <w:lvlText w:val="%1.%2.%3"/>
      <w:lvlJc w:val="left"/>
      <w:pPr>
        <w:tabs>
          <w:tab w:val="left" w:pos="1418"/>
        </w:tabs>
        <w:ind w:left="1418" w:hanging="567"/>
      </w:pPr>
    </w:lvl>
    <w:lvl w:ilvl="3" w:tentative="0">
      <w:start w:val="1"/>
      <w:numFmt w:val="decimal"/>
      <w:lvlText w:val="%1.%2.%3.%4"/>
      <w:lvlJc w:val="left"/>
      <w:pPr>
        <w:tabs>
          <w:tab w:val="left" w:pos="1984"/>
        </w:tabs>
        <w:ind w:left="1984" w:hanging="708"/>
      </w:pPr>
    </w:lvl>
    <w:lvl w:ilvl="4" w:tentative="0">
      <w:start w:val="1"/>
      <w:numFmt w:val="decimal"/>
      <w:lvlText w:val="%1.%2.%3.%4.%5"/>
      <w:lvlJc w:val="left"/>
      <w:pPr>
        <w:tabs>
          <w:tab w:val="left" w:pos="2551"/>
        </w:tabs>
        <w:ind w:left="2551" w:hanging="850"/>
      </w:pPr>
    </w:lvl>
    <w:lvl w:ilvl="5" w:tentative="0">
      <w:start w:val="1"/>
      <w:numFmt w:val="decimal"/>
      <w:lvlText w:val="%1.%2.%3.%4.%5.%6"/>
      <w:lvlJc w:val="left"/>
      <w:pPr>
        <w:tabs>
          <w:tab w:val="left" w:pos="3260"/>
        </w:tabs>
        <w:ind w:left="3260" w:hanging="1134"/>
      </w:pPr>
    </w:lvl>
    <w:lvl w:ilvl="6" w:tentative="0">
      <w:start w:val="1"/>
      <w:numFmt w:val="decimal"/>
      <w:lvlText w:val="%1.%2.%3.%4.%5.%6.%7"/>
      <w:lvlJc w:val="left"/>
      <w:pPr>
        <w:tabs>
          <w:tab w:val="left" w:pos="3827"/>
        </w:tabs>
        <w:ind w:left="3827" w:hanging="1276"/>
      </w:pPr>
    </w:lvl>
    <w:lvl w:ilvl="7" w:tentative="0">
      <w:start w:val="1"/>
      <w:numFmt w:val="decimal"/>
      <w:lvlText w:val="%1.%2.%3.%4.%5.%6.%7.%8"/>
      <w:lvlJc w:val="left"/>
      <w:pPr>
        <w:tabs>
          <w:tab w:val="left" w:pos="4394"/>
        </w:tabs>
        <w:ind w:left="4394" w:hanging="1418"/>
      </w:pPr>
    </w:lvl>
    <w:lvl w:ilvl="8" w:tentative="0">
      <w:start w:val="1"/>
      <w:numFmt w:val="decimal"/>
      <w:lvlText w:val="%1.%2.%3.%4.%5.%6.%7.%8.%9"/>
      <w:lvlJc w:val="left"/>
      <w:pPr>
        <w:tabs>
          <w:tab w:val="left" w:pos="5102"/>
        </w:tabs>
        <w:ind w:left="5102" w:hanging="1700"/>
      </w:pPr>
    </w:lvl>
  </w:abstractNum>
  <w:abstractNum w:abstractNumId="2">
    <w:nsid w:val="31D9D534"/>
    <w:multiLevelType w:val="singleLevel"/>
    <w:tmpl w:val="31D9D534"/>
    <w:lvl w:ilvl="0" w:tentative="0">
      <w:start w:val="3"/>
      <w:numFmt w:val="decimal"/>
      <w:suff w:val="nothing"/>
      <w:lvlText w:val="%1、"/>
      <w:lvlJc w:val="left"/>
    </w:lvl>
  </w:abstractNum>
  <w:abstractNum w:abstractNumId="3">
    <w:nsid w:val="48716ABE"/>
    <w:multiLevelType w:val="multilevel"/>
    <w:tmpl w:val="48716ABE"/>
    <w:lvl w:ilvl="0" w:tentative="0">
      <w:start w:val="1"/>
      <w:numFmt w:val="decimal"/>
      <w:lvlText w:val="%1"/>
      <w:lvlJc w:val="left"/>
      <w:pPr>
        <w:tabs>
          <w:tab w:val="left" w:pos="2502"/>
        </w:tabs>
        <w:ind w:left="2502" w:hanging="432"/>
      </w:pPr>
      <w:rPr>
        <w:rFonts w:hint="default"/>
      </w:rPr>
    </w:lvl>
    <w:lvl w:ilvl="1" w:tentative="0">
      <w:start w:val="1"/>
      <w:numFmt w:val="decimal"/>
      <w:lvlText w:val="%1.%2"/>
      <w:lvlJc w:val="left"/>
      <w:pPr>
        <w:tabs>
          <w:tab w:val="left" w:pos="2646"/>
        </w:tabs>
        <w:ind w:left="2646" w:hanging="576"/>
      </w:pPr>
      <w:rPr>
        <w:rFonts w:hint="default"/>
      </w:rPr>
    </w:lvl>
    <w:lvl w:ilvl="2" w:tentative="0">
      <w:start w:val="1"/>
      <w:numFmt w:val="decimal"/>
      <w:lvlText w:val="%1.%2.%3"/>
      <w:lvlJc w:val="left"/>
      <w:pPr>
        <w:tabs>
          <w:tab w:val="left" w:pos="2790"/>
        </w:tabs>
        <w:ind w:left="2790" w:hanging="720"/>
      </w:pPr>
      <w:rPr>
        <w:rFonts w:hint="default"/>
      </w:rPr>
    </w:lvl>
    <w:lvl w:ilvl="3" w:tentative="0">
      <w:start w:val="1"/>
      <w:numFmt w:val="decimal"/>
      <w:pStyle w:val="67"/>
      <w:lvlText w:val="%1.%2.%3.%4"/>
      <w:lvlJc w:val="left"/>
      <w:pPr>
        <w:tabs>
          <w:tab w:val="left" w:pos="2934"/>
        </w:tabs>
        <w:ind w:left="2934" w:hanging="864"/>
      </w:pPr>
      <w:rPr>
        <w:rFonts w:hint="default"/>
      </w:rPr>
    </w:lvl>
    <w:lvl w:ilvl="4" w:tentative="0">
      <w:start w:val="1"/>
      <w:numFmt w:val="decimal"/>
      <w:lvlText w:val="%1.%2.%3.%4.%5"/>
      <w:lvlJc w:val="left"/>
      <w:pPr>
        <w:tabs>
          <w:tab w:val="left" w:pos="3078"/>
        </w:tabs>
        <w:ind w:left="3078" w:hanging="1008"/>
      </w:pPr>
      <w:rPr>
        <w:rFonts w:hint="eastAsia"/>
      </w:rPr>
    </w:lvl>
    <w:lvl w:ilvl="5" w:tentative="0">
      <w:start w:val="1"/>
      <w:numFmt w:val="decimal"/>
      <w:lvlText w:val="%1.%2.%3.%4.%5.%6"/>
      <w:lvlJc w:val="left"/>
      <w:pPr>
        <w:tabs>
          <w:tab w:val="left" w:pos="3222"/>
        </w:tabs>
        <w:ind w:left="3222" w:hanging="1152"/>
      </w:pPr>
      <w:rPr>
        <w:rFonts w:hint="default"/>
      </w:rPr>
    </w:lvl>
    <w:lvl w:ilvl="6" w:tentative="0">
      <w:start w:val="1"/>
      <w:numFmt w:val="decimal"/>
      <w:lvlText w:val="%1.%2.%3.%4.%5.%6.%7"/>
      <w:lvlJc w:val="left"/>
      <w:pPr>
        <w:tabs>
          <w:tab w:val="left" w:pos="3366"/>
        </w:tabs>
        <w:ind w:left="3366" w:hanging="1296"/>
      </w:pPr>
      <w:rPr>
        <w:rFonts w:hint="default"/>
      </w:rPr>
    </w:lvl>
    <w:lvl w:ilvl="7" w:tentative="0">
      <w:start w:val="1"/>
      <w:numFmt w:val="decimal"/>
      <w:lvlText w:val="%1.%2.%3.%4.%5.%6.%7.%8"/>
      <w:lvlJc w:val="left"/>
      <w:pPr>
        <w:tabs>
          <w:tab w:val="left" w:pos="3510"/>
        </w:tabs>
        <w:ind w:left="3510" w:hanging="1440"/>
      </w:pPr>
      <w:rPr>
        <w:rFonts w:hint="default"/>
      </w:rPr>
    </w:lvl>
    <w:lvl w:ilvl="8" w:tentative="0">
      <w:start w:val="1"/>
      <w:numFmt w:val="decimal"/>
      <w:lvlText w:val="%1.%2.%3.%4.%5.%6.%7.%8.%9"/>
      <w:lvlJc w:val="left"/>
      <w:pPr>
        <w:tabs>
          <w:tab w:val="left" w:pos="3654"/>
        </w:tabs>
        <w:ind w:left="3654" w:hanging="1584"/>
      </w:pPr>
      <w:rPr>
        <w:rFonts w:hint="default"/>
      </w:rPr>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5"/>
  <w:hyphenationZone w:val="360"/>
  <w:drawingGridHorizontalSpacing w:val="105"/>
  <w:drawingGridVerticalSpacing w:val="303"/>
  <w:displayHorizontalDrawingGridEvery w:val="1"/>
  <w:displayVerticalDrawingGridEvery w:val="1"/>
  <w:noPunctuationKerning w:val="1"/>
  <w:characterSpacingControl w:val="compressPunctuation"/>
  <w:hdrShapeDefaults>
    <o:shapelayout v:ext="edit">
      <o:idmap v:ext="edit" data="1"/>
    </o:shapelayout>
  </w:hdrShapeDefaults>
  <w:compat>
    <w:spaceForUL/>
    <w:balanceSingleByteDoubleByteWidth/>
    <w:doNotLeaveBackslashAlone/>
    <w:ulTrailSpace/>
    <w:doNotExpandShiftReturn/>
    <w:useFELayout/>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YxYTQzNGE2ZDBmODM2YWUyMTZlMTdjY2ZmYWNkZWUifQ=="/>
  </w:docVars>
  <w:rsids>
    <w:rsidRoot w:val="00E242DC"/>
    <w:rsid w:val="000061C4"/>
    <w:rsid w:val="00011CC8"/>
    <w:rsid w:val="000127BA"/>
    <w:rsid w:val="00017ADB"/>
    <w:rsid w:val="000215D5"/>
    <w:rsid w:val="00021EFD"/>
    <w:rsid w:val="0002219A"/>
    <w:rsid w:val="00022306"/>
    <w:rsid w:val="0002297A"/>
    <w:rsid w:val="000236D2"/>
    <w:rsid w:val="000241BC"/>
    <w:rsid w:val="00025954"/>
    <w:rsid w:val="00026F05"/>
    <w:rsid w:val="00031908"/>
    <w:rsid w:val="0003222E"/>
    <w:rsid w:val="00033ECD"/>
    <w:rsid w:val="0003465C"/>
    <w:rsid w:val="00040265"/>
    <w:rsid w:val="000403F2"/>
    <w:rsid w:val="00042362"/>
    <w:rsid w:val="000474F7"/>
    <w:rsid w:val="00053159"/>
    <w:rsid w:val="000535D3"/>
    <w:rsid w:val="00054E9E"/>
    <w:rsid w:val="000559E2"/>
    <w:rsid w:val="000608A8"/>
    <w:rsid w:val="00060938"/>
    <w:rsid w:val="00062D59"/>
    <w:rsid w:val="00064A5A"/>
    <w:rsid w:val="0006548F"/>
    <w:rsid w:val="00067E5C"/>
    <w:rsid w:val="00070C8D"/>
    <w:rsid w:val="00072122"/>
    <w:rsid w:val="00072459"/>
    <w:rsid w:val="00076662"/>
    <w:rsid w:val="00076FCE"/>
    <w:rsid w:val="00077D2C"/>
    <w:rsid w:val="000858F3"/>
    <w:rsid w:val="00086C13"/>
    <w:rsid w:val="00086ECF"/>
    <w:rsid w:val="00091871"/>
    <w:rsid w:val="000926D6"/>
    <w:rsid w:val="00094287"/>
    <w:rsid w:val="00094ABB"/>
    <w:rsid w:val="00095DD5"/>
    <w:rsid w:val="00096A8A"/>
    <w:rsid w:val="000A0DD3"/>
    <w:rsid w:val="000A1BD8"/>
    <w:rsid w:val="000A31BC"/>
    <w:rsid w:val="000A46EF"/>
    <w:rsid w:val="000A79D1"/>
    <w:rsid w:val="000B1D57"/>
    <w:rsid w:val="000B7122"/>
    <w:rsid w:val="000C0ADB"/>
    <w:rsid w:val="000C0DB4"/>
    <w:rsid w:val="000C2F04"/>
    <w:rsid w:val="000C412E"/>
    <w:rsid w:val="000C4CBF"/>
    <w:rsid w:val="000D1112"/>
    <w:rsid w:val="000D1F66"/>
    <w:rsid w:val="000D221F"/>
    <w:rsid w:val="000D2273"/>
    <w:rsid w:val="000D6D18"/>
    <w:rsid w:val="000D7DD9"/>
    <w:rsid w:val="000E0416"/>
    <w:rsid w:val="000E23E6"/>
    <w:rsid w:val="000E3034"/>
    <w:rsid w:val="000E35DB"/>
    <w:rsid w:val="000E3903"/>
    <w:rsid w:val="000E74EB"/>
    <w:rsid w:val="000F1AB0"/>
    <w:rsid w:val="000F1D29"/>
    <w:rsid w:val="000F2F86"/>
    <w:rsid w:val="000F37A3"/>
    <w:rsid w:val="000F4AAD"/>
    <w:rsid w:val="000F4D24"/>
    <w:rsid w:val="000F5679"/>
    <w:rsid w:val="000F6B32"/>
    <w:rsid w:val="0010296E"/>
    <w:rsid w:val="001036AB"/>
    <w:rsid w:val="001045F8"/>
    <w:rsid w:val="00104874"/>
    <w:rsid w:val="0010525C"/>
    <w:rsid w:val="0010568B"/>
    <w:rsid w:val="001062E2"/>
    <w:rsid w:val="00112A1D"/>
    <w:rsid w:val="00114016"/>
    <w:rsid w:val="001148D9"/>
    <w:rsid w:val="001168F8"/>
    <w:rsid w:val="00122663"/>
    <w:rsid w:val="001257C4"/>
    <w:rsid w:val="00127806"/>
    <w:rsid w:val="001315F2"/>
    <w:rsid w:val="00131A53"/>
    <w:rsid w:val="00131E6D"/>
    <w:rsid w:val="0013667D"/>
    <w:rsid w:val="001371DF"/>
    <w:rsid w:val="00137AB5"/>
    <w:rsid w:val="00140412"/>
    <w:rsid w:val="0014088E"/>
    <w:rsid w:val="00141EDF"/>
    <w:rsid w:val="0014219B"/>
    <w:rsid w:val="001429DC"/>
    <w:rsid w:val="001449F0"/>
    <w:rsid w:val="00145652"/>
    <w:rsid w:val="00145E0D"/>
    <w:rsid w:val="00146E49"/>
    <w:rsid w:val="00147C02"/>
    <w:rsid w:val="00150374"/>
    <w:rsid w:val="00150AF3"/>
    <w:rsid w:val="00152959"/>
    <w:rsid w:val="00152E9C"/>
    <w:rsid w:val="001551D9"/>
    <w:rsid w:val="00155B26"/>
    <w:rsid w:val="00155B5E"/>
    <w:rsid w:val="00160720"/>
    <w:rsid w:val="00160DFC"/>
    <w:rsid w:val="00161CA1"/>
    <w:rsid w:val="00162198"/>
    <w:rsid w:val="00166E41"/>
    <w:rsid w:val="00167E82"/>
    <w:rsid w:val="001757D1"/>
    <w:rsid w:val="001759A4"/>
    <w:rsid w:val="00176EDA"/>
    <w:rsid w:val="00180FD6"/>
    <w:rsid w:val="00181846"/>
    <w:rsid w:val="00184150"/>
    <w:rsid w:val="00184886"/>
    <w:rsid w:val="001870DE"/>
    <w:rsid w:val="0018748C"/>
    <w:rsid w:val="00187B90"/>
    <w:rsid w:val="00187DB9"/>
    <w:rsid w:val="001903F1"/>
    <w:rsid w:val="00190845"/>
    <w:rsid w:val="00192664"/>
    <w:rsid w:val="00196085"/>
    <w:rsid w:val="001967D1"/>
    <w:rsid w:val="00196C35"/>
    <w:rsid w:val="00197001"/>
    <w:rsid w:val="00197922"/>
    <w:rsid w:val="00197953"/>
    <w:rsid w:val="001A3194"/>
    <w:rsid w:val="001A4509"/>
    <w:rsid w:val="001A6D40"/>
    <w:rsid w:val="001B0335"/>
    <w:rsid w:val="001B1E84"/>
    <w:rsid w:val="001B22B5"/>
    <w:rsid w:val="001B2AF8"/>
    <w:rsid w:val="001B40A9"/>
    <w:rsid w:val="001B441D"/>
    <w:rsid w:val="001B491D"/>
    <w:rsid w:val="001B74E3"/>
    <w:rsid w:val="001B78C7"/>
    <w:rsid w:val="001C048B"/>
    <w:rsid w:val="001C0DD2"/>
    <w:rsid w:val="001C0EF0"/>
    <w:rsid w:val="001C269F"/>
    <w:rsid w:val="001C2833"/>
    <w:rsid w:val="001C2BC4"/>
    <w:rsid w:val="001C2C72"/>
    <w:rsid w:val="001C3EDA"/>
    <w:rsid w:val="001C4980"/>
    <w:rsid w:val="001C57ED"/>
    <w:rsid w:val="001C5F31"/>
    <w:rsid w:val="001C5F8D"/>
    <w:rsid w:val="001C6370"/>
    <w:rsid w:val="001C6550"/>
    <w:rsid w:val="001C66A0"/>
    <w:rsid w:val="001D0B82"/>
    <w:rsid w:val="001D1543"/>
    <w:rsid w:val="001D19B0"/>
    <w:rsid w:val="001D4E13"/>
    <w:rsid w:val="001D6E6B"/>
    <w:rsid w:val="001E115E"/>
    <w:rsid w:val="001E1461"/>
    <w:rsid w:val="001E16D3"/>
    <w:rsid w:val="001E3E8F"/>
    <w:rsid w:val="001E458C"/>
    <w:rsid w:val="001E5713"/>
    <w:rsid w:val="001E6251"/>
    <w:rsid w:val="001E7C86"/>
    <w:rsid w:val="001F232A"/>
    <w:rsid w:val="001F2D9A"/>
    <w:rsid w:val="001F3343"/>
    <w:rsid w:val="001F3708"/>
    <w:rsid w:val="001F40E6"/>
    <w:rsid w:val="001F487F"/>
    <w:rsid w:val="00200B44"/>
    <w:rsid w:val="00201C0D"/>
    <w:rsid w:val="00201F55"/>
    <w:rsid w:val="00202E3D"/>
    <w:rsid w:val="0020351F"/>
    <w:rsid w:val="0020362D"/>
    <w:rsid w:val="00204657"/>
    <w:rsid w:val="00205312"/>
    <w:rsid w:val="00205827"/>
    <w:rsid w:val="00206B12"/>
    <w:rsid w:val="00207372"/>
    <w:rsid w:val="002111D2"/>
    <w:rsid w:val="002113AD"/>
    <w:rsid w:val="002165B3"/>
    <w:rsid w:val="00217197"/>
    <w:rsid w:val="002179A3"/>
    <w:rsid w:val="00217D99"/>
    <w:rsid w:val="00222BB5"/>
    <w:rsid w:val="00222C2C"/>
    <w:rsid w:val="002233B7"/>
    <w:rsid w:val="00223573"/>
    <w:rsid w:val="002235D0"/>
    <w:rsid w:val="00223B08"/>
    <w:rsid w:val="0022640F"/>
    <w:rsid w:val="00230810"/>
    <w:rsid w:val="0023242A"/>
    <w:rsid w:val="00233933"/>
    <w:rsid w:val="00235D3C"/>
    <w:rsid w:val="00236EE5"/>
    <w:rsid w:val="00241960"/>
    <w:rsid w:val="002429D3"/>
    <w:rsid w:val="00244162"/>
    <w:rsid w:val="00244E58"/>
    <w:rsid w:val="0024509A"/>
    <w:rsid w:val="0024560C"/>
    <w:rsid w:val="00245CA2"/>
    <w:rsid w:val="00245E72"/>
    <w:rsid w:val="00250C5C"/>
    <w:rsid w:val="00251592"/>
    <w:rsid w:val="00252BF0"/>
    <w:rsid w:val="0025565B"/>
    <w:rsid w:val="00256458"/>
    <w:rsid w:val="00256D6A"/>
    <w:rsid w:val="002571C5"/>
    <w:rsid w:val="00260473"/>
    <w:rsid w:val="00260872"/>
    <w:rsid w:val="00261256"/>
    <w:rsid w:val="00261500"/>
    <w:rsid w:val="00263E99"/>
    <w:rsid w:val="00265AB0"/>
    <w:rsid w:val="002664F8"/>
    <w:rsid w:val="00267317"/>
    <w:rsid w:val="00271827"/>
    <w:rsid w:val="002752BD"/>
    <w:rsid w:val="00275749"/>
    <w:rsid w:val="00276119"/>
    <w:rsid w:val="00276D5B"/>
    <w:rsid w:val="002774E8"/>
    <w:rsid w:val="00277973"/>
    <w:rsid w:val="00277F4E"/>
    <w:rsid w:val="00280259"/>
    <w:rsid w:val="00287400"/>
    <w:rsid w:val="00287F0C"/>
    <w:rsid w:val="002968E1"/>
    <w:rsid w:val="00296BEB"/>
    <w:rsid w:val="002A0302"/>
    <w:rsid w:val="002A3B0B"/>
    <w:rsid w:val="002B12E5"/>
    <w:rsid w:val="002B4DED"/>
    <w:rsid w:val="002B58B6"/>
    <w:rsid w:val="002B58BA"/>
    <w:rsid w:val="002B5F94"/>
    <w:rsid w:val="002B6C00"/>
    <w:rsid w:val="002B6D78"/>
    <w:rsid w:val="002D2859"/>
    <w:rsid w:val="002D322D"/>
    <w:rsid w:val="002D3405"/>
    <w:rsid w:val="002D3833"/>
    <w:rsid w:val="002D4332"/>
    <w:rsid w:val="002D43E5"/>
    <w:rsid w:val="002D56F4"/>
    <w:rsid w:val="002D5945"/>
    <w:rsid w:val="002D5A6C"/>
    <w:rsid w:val="002D7B4D"/>
    <w:rsid w:val="002E0DCA"/>
    <w:rsid w:val="002E188B"/>
    <w:rsid w:val="002E6038"/>
    <w:rsid w:val="002E6083"/>
    <w:rsid w:val="002E76B2"/>
    <w:rsid w:val="002F0AC6"/>
    <w:rsid w:val="002F0D8F"/>
    <w:rsid w:val="002F11F6"/>
    <w:rsid w:val="002F4FE0"/>
    <w:rsid w:val="002F539E"/>
    <w:rsid w:val="002F550A"/>
    <w:rsid w:val="002F5F1E"/>
    <w:rsid w:val="002F60A2"/>
    <w:rsid w:val="00300B41"/>
    <w:rsid w:val="00300BD9"/>
    <w:rsid w:val="00301077"/>
    <w:rsid w:val="00301268"/>
    <w:rsid w:val="003024BE"/>
    <w:rsid w:val="00303E8B"/>
    <w:rsid w:val="00304F34"/>
    <w:rsid w:val="0030519A"/>
    <w:rsid w:val="00305932"/>
    <w:rsid w:val="00311A2A"/>
    <w:rsid w:val="00312489"/>
    <w:rsid w:val="00312C4A"/>
    <w:rsid w:val="00313875"/>
    <w:rsid w:val="003153FE"/>
    <w:rsid w:val="003166EB"/>
    <w:rsid w:val="00317B7D"/>
    <w:rsid w:val="00320E48"/>
    <w:rsid w:val="00320F6A"/>
    <w:rsid w:val="003213BE"/>
    <w:rsid w:val="00321527"/>
    <w:rsid w:val="0032157E"/>
    <w:rsid w:val="003218AD"/>
    <w:rsid w:val="003230B0"/>
    <w:rsid w:val="00323B4D"/>
    <w:rsid w:val="003241BE"/>
    <w:rsid w:val="00327893"/>
    <w:rsid w:val="00332662"/>
    <w:rsid w:val="00335F4D"/>
    <w:rsid w:val="00336C13"/>
    <w:rsid w:val="00337B42"/>
    <w:rsid w:val="00341139"/>
    <w:rsid w:val="00341B94"/>
    <w:rsid w:val="0034243A"/>
    <w:rsid w:val="003428A2"/>
    <w:rsid w:val="0034324D"/>
    <w:rsid w:val="00343E49"/>
    <w:rsid w:val="00344DB0"/>
    <w:rsid w:val="00347665"/>
    <w:rsid w:val="00351979"/>
    <w:rsid w:val="003530C6"/>
    <w:rsid w:val="00353B51"/>
    <w:rsid w:val="00354ED0"/>
    <w:rsid w:val="00355352"/>
    <w:rsid w:val="00355931"/>
    <w:rsid w:val="00357483"/>
    <w:rsid w:val="00362A3B"/>
    <w:rsid w:val="00363115"/>
    <w:rsid w:val="00363A59"/>
    <w:rsid w:val="00363AC5"/>
    <w:rsid w:val="00365904"/>
    <w:rsid w:val="00366C3F"/>
    <w:rsid w:val="0036774F"/>
    <w:rsid w:val="00370E62"/>
    <w:rsid w:val="00372B0F"/>
    <w:rsid w:val="00376998"/>
    <w:rsid w:val="0037704D"/>
    <w:rsid w:val="00380B3F"/>
    <w:rsid w:val="00382655"/>
    <w:rsid w:val="003834D1"/>
    <w:rsid w:val="00383C28"/>
    <w:rsid w:val="0038479E"/>
    <w:rsid w:val="00385404"/>
    <w:rsid w:val="0039021F"/>
    <w:rsid w:val="00391FAB"/>
    <w:rsid w:val="003927A3"/>
    <w:rsid w:val="00392E86"/>
    <w:rsid w:val="00393D13"/>
    <w:rsid w:val="0039583D"/>
    <w:rsid w:val="00397133"/>
    <w:rsid w:val="0039776A"/>
    <w:rsid w:val="003A069D"/>
    <w:rsid w:val="003A0B85"/>
    <w:rsid w:val="003A0E73"/>
    <w:rsid w:val="003A20C1"/>
    <w:rsid w:val="003A2648"/>
    <w:rsid w:val="003A4785"/>
    <w:rsid w:val="003A4ABE"/>
    <w:rsid w:val="003A504F"/>
    <w:rsid w:val="003A5F94"/>
    <w:rsid w:val="003A6F5B"/>
    <w:rsid w:val="003A7D98"/>
    <w:rsid w:val="003B021E"/>
    <w:rsid w:val="003B1839"/>
    <w:rsid w:val="003B3419"/>
    <w:rsid w:val="003B6A70"/>
    <w:rsid w:val="003C1836"/>
    <w:rsid w:val="003C3610"/>
    <w:rsid w:val="003C3BF4"/>
    <w:rsid w:val="003C3C21"/>
    <w:rsid w:val="003C4E41"/>
    <w:rsid w:val="003C7EBD"/>
    <w:rsid w:val="003D1F70"/>
    <w:rsid w:val="003D20EC"/>
    <w:rsid w:val="003D3936"/>
    <w:rsid w:val="003D3C46"/>
    <w:rsid w:val="003D5071"/>
    <w:rsid w:val="003D668E"/>
    <w:rsid w:val="003E095B"/>
    <w:rsid w:val="003E248D"/>
    <w:rsid w:val="003E48A9"/>
    <w:rsid w:val="003E5E95"/>
    <w:rsid w:val="003E5EC0"/>
    <w:rsid w:val="003E785C"/>
    <w:rsid w:val="003F1800"/>
    <w:rsid w:val="003F4834"/>
    <w:rsid w:val="003F5553"/>
    <w:rsid w:val="003F5D2C"/>
    <w:rsid w:val="003F678D"/>
    <w:rsid w:val="003F6891"/>
    <w:rsid w:val="003F7E2B"/>
    <w:rsid w:val="00400550"/>
    <w:rsid w:val="004008E9"/>
    <w:rsid w:val="00400E35"/>
    <w:rsid w:val="0040163F"/>
    <w:rsid w:val="004033A5"/>
    <w:rsid w:val="00411791"/>
    <w:rsid w:val="004130B1"/>
    <w:rsid w:val="004130F0"/>
    <w:rsid w:val="00415A36"/>
    <w:rsid w:val="004170BB"/>
    <w:rsid w:val="00420A50"/>
    <w:rsid w:val="00420CDE"/>
    <w:rsid w:val="004234DD"/>
    <w:rsid w:val="0042368E"/>
    <w:rsid w:val="00423EBC"/>
    <w:rsid w:val="004249F0"/>
    <w:rsid w:val="00424A4F"/>
    <w:rsid w:val="00425780"/>
    <w:rsid w:val="004269B5"/>
    <w:rsid w:val="004303ED"/>
    <w:rsid w:val="00430CE9"/>
    <w:rsid w:val="00431B1D"/>
    <w:rsid w:val="00437DB6"/>
    <w:rsid w:val="00440B5F"/>
    <w:rsid w:val="00441A09"/>
    <w:rsid w:val="004422AF"/>
    <w:rsid w:val="004425B6"/>
    <w:rsid w:val="00443F39"/>
    <w:rsid w:val="00444A27"/>
    <w:rsid w:val="004452DA"/>
    <w:rsid w:val="004460E9"/>
    <w:rsid w:val="00446D8E"/>
    <w:rsid w:val="00450658"/>
    <w:rsid w:val="0045188E"/>
    <w:rsid w:val="00452CBC"/>
    <w:rsid w:val="0045325C"/>
    <w:rsid w:val="004539D1"/>
    <w:rsid w:val="00453F8F"/>
    <w:rsid w:val="0045558E"/>
    <w:rsid w:val="00457EB3"/>
    <w:rsid w:val="004600AC"/>
    <w:rsid w:val="00461B6C"/>
    <w:rsid w:val="00462F5E"/>
    <w:rsid w:val="0046331D"/>
    <w:rsid w:val="00470637"/>
    <w:rsid w:val="00470719"/>
    <w:rsid w:val="00471CE5"/>
    <w:rsid w:val="00474739"/>
    <w:rsid w:val="00476146"/>
    <w:rsid w:val="00477E21"/>
    <w:rsid w:val="004801BA"/>
    <w:rsid w:val="004810A5"/>
    <w:rsid w:val="004833CC"/>
    <w:rsid w:val="00484363"/>
    <w:rsid w:val="00484E34"/>
    <w:rsid w:val="00485BD7"/>
    <w:rsid w:val="00485F16"/>
    <w:rsid w:val="00487185"/>
    <w:rsid w:val="004875AB"/>
    <w:rsid w:val="00487AA9"/>
    <w:rsid w:val="00491FF3"/>
    <w:rsid w:val="00492021"/>
    <w:rsid w:val="0049273C"/>
    <w:rsid w:val="00494695"/>
    <w:rsid w:val="00494871"/>
    <w:rsid w:val="00495296"/>
    <w:rsid w:val="00496B57"/>
    <w:rsid w:val="004A0498"/>
    <w:rsid w:val="004A08FC"/>
    <w:rsid w:val="004A1C0E"/>
    <w:rsid w:val="004A1F38"/>
    <w:rsid w:val="004A224C"/>
    <w:rsid w:val="004A3D86"/>
    <w:rsid w:val="004A4C78"/>
    <w:rsid w:val="004A7E61"/>
    <w:rsid w:val="004A7E6E"/>
    <w:rsid w:val="004B4A45"/>
    <w:rsid w:val="004B5F17"/>
    <w:rsid w:val="004B73BD"/>
    <w:rsid w:val="004B794F"/>
    <w:rsid w:val="004C1BC8"/>
    <w:rsid w:val="004C2759"/>
    <w:rsid w:val="004C359E"/>
    <w:rsid w:val="004C626D"/>
    <w:rsid w:val="004C631E"/>
    <w:rsid w:val="004C79A5"/>
    <w:rsid w:val="004D01FB"/>
    <w:rsid w:val="004D0479"/>
    <w:rsid w:val="004D39D2"/>
    <w:rsid w:val="004D6A04"/>
    <w:rsid w:val="004D789B"/>
    <w:rsid w:val="004D7B9C"/>
    <w:rsid w:val="004E1F5C"/>
    <w:rsid w:val="004E5C51"/>
    <w:rsid w:val="004E5DBC"/>
    <w:rsid w:val="004E6795"/>
    <w:rsid w:val="004F06E0"/>
    <w:rsid w:val="004F13DF"/>
    <w:rsid w:val="004F2A7E"/>
    <w:rsid w:val="004F2C55"/>
    <w:rsid w:val="004F3808"/>
    <w:rsid w:val="004F6744"/>
    <w:rsid w:val="004F6F55"/>
    <w:rsid w:val="00501265"/>
    <w:rsid w:val="00502B9C"/>
    <w:rsid w:val="0050301D"/>
    <w:rsid w:val="0050583D"/>
    <w:rsid w:val="00507BBD"/>
    <w:rsid w:val="0051001F"/>
    <w:rsid w:val="00510966"/>
    <w:rsid w:val="00510E75"/>
    <w:rsid w:val="00511598"/>
    <w:rsid w:val="00512A4D"/>
    <w:rsid w:val="00514DD2"/>
    <w:rsid w:val="00515B5D"/>
    <w:rsid w:val="005204CD"/>
    <w:rsid w:val="00520766"/>
    <w:rsid w:val="00523AAA"/>
    <w:rsid w:val="0052755D"/>
    <w:rsid w:val="00530043"/>
    <w:rsid w:val="0053019F"/>
    <w:rsid w:val="00530338"/>
    <w:rsid w:val="005310D0"/>
    <w:rsid w:val="005336B1"/>
    <w:rsid w:val="00535BED"/>
    <w:rsid w:val="00540C13"/>
    <w:rsid w:val="00543661"/>
    <w:rsid w:val="0054411B"/>
    <w:rsid w:val="005457AE"/>
    <w:rsid w:val="005533F9"/>
    <w:rsid w:val="00555483"/>
    <w:rsid w:val="005567EC"/>
    <w:rsid w:val="00557213"/>
    <w:rsid w:val="0055731F"/>
    <w:rsid w:val="00560AEA"/>
    <w:rsid w:val="00560F89"/>
    <w:rsid w:val="00561D9E"/>
    <w:rsid w:val="00565DB2"/>
    <w:rsid w:val="00566720"/>
    <w:rsid w:val="00567B8C"/>
    <w:rsid w:val="00570114"/>
    <w:rsid w:val="0057111C"/>
    <w:rsid w:val="00572FEB"/>
    <w:rsid w:val="00575B75"/>
    <w:rsid w:val="00580E6A"/>
    <w:rsid w:val="00580EE1"/>
    <w:rsid w:val="005826D5"/>
    <w:rsid w:val="005838C0"/>
    <w:rsid w:val="005849FB"/>
    <w:rsid w:val="005851E6"/>
    <w:rsid w:val="00585BF2"/>
    <w:rsid w:val="00586D98"/>
    <w:rsid w:val="00590D61"/>
    <w:rsid w:val="005925BE"/>
    <w:rsid w:val="005930F1"/>
    <w:rsid w:val="0059379B"/>
    <w:rsid w:val="00596B37"/>
    <w:rsid w:val="005972D5"/>
    <w:rsid w:val="0059758A"/>
    <w:rsid w:val="00597964"/>
    <w:rsid w:val="005A05CF"/>
    <w:rsid w:val="005A1CA0"/>
    <w:rsid w:val="005A2742"/>
    <w:rsid w:val="005A2BE3"/>
    <w:rsid w:val="005A3A54"/>
    <w:rsid w:val="005A424E"/>
    <w:rsid w:val="005A5EEE"/>
    <w:rsid w:val="005A6C7D"/>
    <w:rsid w:val="005B251E"/>
    <w:rsid w:val="005B33B5"/>
    <w:rsid w:val="005B3C13"/>
    <w:rsid w:val="005B45F4"/>
    <w:rsid w:val="005B479D"/>
    <w:rsid w:val="005B4B38"/>
    <w:rsid w:val="005B4F0B"/>
    <w:rsid w:val="005B5809"/>
    <w:rsid w:val="005B59D9"/>
    <w:rsid w:val="005C65E5"/>
    <w:rsid w:val="005C6E9D"/>
    <w:rsid w:val="005D13B3"/>
    <w:rsid w:val="005D23FF"/>
    <w:rsid w:val="005D2DE6"/>
    <w:rsid w:val="005D3201"/>
    <w:rsid w:val="005D4900"/>
    <w:rsid w:val="005D4FCE"/>
    <w:rsid w:val="005D5627"/>
    <w:rsid w:val="005E22D4"/>
    <w:rsid w:val="005E23CC"/>
    <w:rsid w:val="005E31E4"/>
    <w:rsid w:val="005E3865"/>
    <w:rsid w:val="005E5707"/>
    <w:rsid w:val="005E5D6D"/>
    <w:rsid w:val="005E61DD"/>
    <w:rsid w:val="005F1812"/>
    <w:rsid w:val="005F2134"/>
    <w:rsid w:val="005F2716"/>
    <w:rsid w:val="005F42AA"/>
    <w:rsid w:val="005F76B0"/>
    <w:rsid w:val="005F7D86"/>
    <w:rsid w:val="006022C7"/>
    <w:rsid w:val="00603D62"/>
    <w:rsid w:val="00604521"/>
    <w:rsid w:val="006066A0"/>
    <w:rsid w:val="0061197B"/>
    <w:rsid w:val="00612612"/>
    <w:rsid w:val="006131A8"/>
    <w:rsid w:val="00613F5E"/>
    <w:rsid w:val="00615DC4"/>
    <w:rsid w:val="00616317"/>
    <w:rsid w:val="00617A57"/>
    <w:rsid w:val="00620767"/>
    <w:rsid w:val="00620AA9"/>
    <w:rsid w:val="0062496C"/>
    <w:rsid w:val="00625F06"/>
    <w:rsid w:val="00625FBB"/>
    <w:rsid w:val="00627827"/>
    <w:rsid w:val="00630B12"/>
    <w:rsid w:val="006328C4"/>
    <w:rsid w:val="00632C3D"/>
    <w:rsid w:val="0063472A"/>
    <w:rsid w:val="00634C3E"/>
    <w:rsid w:val="006361BA"/>
    <w:rsid w:val="0064301F"/>
    <w:rsid w:val="00643ED8"/>
    <w:rsid w:val="00643F48"/>
    <w:rsid w:val="0064483C"/>
    <w:rsid w:val="00644F13"/>
    <w:rsid w:val="00645E50"/>
    <w:rsid w:val="00645FE5"/>
    <w:rsid w:val="00646117"/>
    <w:rsid w:val="0064643C"/>
    <w:rsid w:val="00646BF2"/>
    <w:rsid w:val="00650747"/>
    <w:rsid w:val="00650C32"/>
    <w:rsid w:val="00650FCD"/>
    <w:rsid w:val="006512B5"/>
    <w:rsid w:val="006515A4"/>
    <w:rsid w:val="006525BF"/>
    <w:rsid w:val="00652F59"/>
    <w:rsid w:val="00656E6F"/>
    <w:rsid w:val="00657991"/>
    <w:rsid w:val="00660534"/>
    <w:rsid w:val="00661283"/>
    <w:rsid w:val="006630A3"/>
    <w:rsid w:val="00666DB4"/>
    <w:rsid w:val="00667613"/>
    <w:rsid w:val="00670529"/>
    <w:rsid w:val="00671AA4"/>
    <w:rsid w:val="0067559A"/>
    <w:rsid w:val="006778BB"/>
    <w:rsid w:val="0068021A"/>
    <w:rsid w:val="00681FD6"/>
    <w:rsid w:val="006831F3"/>
    <w:rsid w:val="006836D3"/>
    <w:rsid w:val="00683FA8"/>
    <w:rsid w:val="006902D6"/>
    <w:rsid w:val="00690469"/>
    <w:rsid w:val="00691C7C"/>
    <w:rsid w:val="00694F4D"/>
    <w:rsid w:val="00697EAD"/>
    <w:rsid w:val="006A03A1"/>
    <w:rsid w:val="006A086D"/>
    <w:rsid w:val="006A25CE"/>
    <w:rsid w:val="006A286B"/>
    <w:rsid w:val="006A357A"/>
    <w:rsid w:val="006A4AD8"/>
    <w:rsid w:val="006A682E"/>
    <w:rsid w:val="006A722A"/>
    <w:rsid w:val="006A7854"/>
    <w:rsid w:val="006B2F44"/>
    <w:rsid w:val="006B4EBD"/>
    <w:rsid w:val="006B5C57"/>
    <w:rsid w:val="006C0B5A"/>
    <w:rsid w:val="006C10F9"/>
    <w:rsid w:val="006C180D"/>
    <w:rsid w:val="006C1ABD"/>
    <w:rsid w:val="006C46F6"/>
    <w:rsid w:val="006C600E"/>
    <w:rsid w:val="006C64E5"/>
    <w:rsid w:val="006D050F"/>
    <w:rsid w:val="006D163E"/>
    <w:rsid w:val="006D16FC"/>
    <w:rsid w:val="006D1FF2"/>
    <w:rsid w:val="006E108F"/>
    <w:rsid w:val="006E1A95"/>
    <w:rsid w:val="006E329C"/>
    <w:rsid w:val="006E333B"/>
    <w:rsid w:val="006E3967"/>
    <w:rsid w:val="006E604A"/>
    <w:rsid w:val="006F22DB"/>
    <w:rsid w:val="006F26AB"/>
    <w:rsid w:val="006F3286"/>
    <w:rsid w:val="006F3335"/>
    <w:rsid w:val="006F5172"/>
    <w:rsid w:val="006F52C4"/>
    <w:rsid w:val="006F6CCD"/>
    <w:rsid w:val="00700E52"/>
    <w:rsid w:val="0070107F"/>
    <w:rsid w:val="00701566"/>
    <w:rsid w:val="00701795"/>
    <w:rsid w:val="00701B30"/>
    <w:rsid w:val="00701CAC"/>
    <w:rsid w:val="00703092"/>
    <w:rsid w:val="00707324"/>
    <w:rsid w:val="0071036A"/>
    <w:rsid w:val="0071143C"/>
    <w:rsid w:val="00712ADB"/>
    <w:rsid w:val="00714468"/>
    <w:rsid w:val="00714F04"/>
    <w:rsid w:val="0072180E"/>
    <w:rsid w:val="00722F98"/>
    <w:rsid w:val="0072400D"/>
    <w:rsid w:val="007247E3"/>
    <w:rsid w:val="00725930"/>
    <w:rsid w:val="00725F35"/>
    <w:rsid w:val="00726D28"/>
    <w:rsid w:val="00731DF2"/>
    <w:rsid w:val="00732D9D"/>
    <w:rsid w:val="00734CCE"/>
    <w:rsid w:val="00740D94"/>
    <w:rsid w:val="00740F2D"/>
    <w:rsid w:val="0074293F"/>
    <w:rsid w:val="0074436A"/>
    <w:rsid w:val="007470DF"/>
    <w:rsid w:val="0074789B"/>
    <w:rsid w:val="0075123B"/>
    <w:rsid w:val="00752FB0"/>
    <w:rsid w:val="0075358C"/>
    <w:rsid w:val="00753A0A"/>
    <w:rsid w:val="00754839"/>
    <w:rsid w:val="00756807"/>
    <w:rsid w:val="007576D4"/>
    <w:rsid w:val="00757C0F"/>
    <w:rsid w:val="00760940"/>
    <w:rsid w:val="00760E11"/>
    <w:rsid w:val="00761277"/>
    <w:rsid w:val="00763B67"/>
    <w:rsid w:val="007663E5"/>
    <w:rsid w:val="00766B7A"/>
    <w:rsid w:val="00767E76"/>
    <w:rsid w:val="00772937"/>
    <w:rsid w:val="00775214"/>
    <w:rsid w:val="00780EB4"/>
    <w:rsid w:val="007844C2"/>
    <w:rsid w:val="00784A8D"/>
    <w:rsid w:val="007852C0"/>
    <w:rsid w:val="007857DE"/>
    <w:rsid w:val="00791019"/>
    <w:rsid w:val="00791CD1"/>
    <w:rsid w:val="00794F98"/>
    <w:rsid w:val="0079600E"/>
    <w:rsid w:val="007971F2"/>
    <w:rsid w:val="00797C59"/>
    <w:rsid w:val="007A13FE"/>
    <w:rsid w:val="007A3165"/>
    <w:rsid w:val="007A7AC3"/>
    <w:rsid w:val="007B13F4"/>
    <w:rsid w:val="007B3B52"/>
    <w:rsid w:val="007B48BA"/>
    <w:rsid w:val="007B5B62"/>
    <w:rsid w:val="007C2787"/>
    <w:rsid w:val="007C38A5"/>
    <w:rsid w:val="007C5082"/>
    <w:rsid w:val="007D0C4E"/>
    <w:rsid w:val="007D11D3"/>
    <w:rsid w:val="007D1F30"/>
    <w:rsid w:val="007D318C"/>
    <w:rsid w:val="007D4FB6"/>
    <w:rsid w:val="007D5C49"/>
    <w:rsid w:val="007D6F99"/>
    <w:rsid w:val="007E393E"/>
    <w:rsid w:val="007E4D14"/>
    <w:rsid w:val="007E5D49"/>
    <w:rsid w:val="007E6327"/>
    <w:rsid w:val="007F0F83"/>
    <w:rsid w:val="007F476D"/>
    <w:rsid w:val="007F51EA"/>
    <w:rsid w:val="007F5F82"/>
    <w:rsid w:val="007F7EC8"/>
    <w:rsid w:val="00800328"/>
    <w:rsid w:val="00801570"/>
    <w:rsid w:val="00803B22"/>
    <w:rsid w:val="008048ED"/>
    <w:rsid w:val="00804A83"/>
    <w:rsid w:val="0080500C"/>
    <w:rsid w:val="0080649D"/>
    <w:rsid w:val="00806F05"/>
    <w:rsid w:val="0081032A"/>
    <w:rsid w:val="00810EFD"/>
    <w:rsid w:val="008272F7"/>
    <w:rsid w:val="00831594"/>
    <w:rsid w:val="0083242A"/>
    <w:rsid w:val="00832588"/>
    <w:rsid w:val="00832C18"/>
    <w:rsid w:val="00835843"/>
    <w:rsid w:val="00836225"/>
    <w:rsid w:val="0084160D"/>
    <w:rsid w:val="008419B3"/>
    <w:rsid w:val="00842CCC"/>
    <w:rsid w:val="00843BDD"/>
    <w:rsid w:val="00850C12"/>
    <w:rsid w:val="00850CCB"/>
    <w:rsid w:val="00851D6E"/>
    <w:rsid w:val="008525DA"/>
    <w:rsid w:val="00852EA4"/>
    <w:rsid w:val="0085408F"/>
    <w:rsid w:val="00860549"/>
    <w:rsid w:val="00861065"/>
    <w:rsid w:val="008617BB"/>
    <w:rsid w:val="008618D3"/>
    <w:rsid w:val="00862225"/>
    <w:rsid w:val="008625C1"/>
    <w:rsid w:val="00862635"/>
    <w:rsid w:val="0086266F"/>
    <w:rsid w:val="008630A7"/>
    <w:rsid w:val="00863816"/>
    <w:rsid w:val="00863C70"/>
    <w:rsid w:val="00863EAA"/>
    <w:rsid w:val="0086766D"/>
    <w:rsid w:val="00870CA1"/>
    <w:rsid w:val="0087101B"/>
    <w:rsid w:val="00874601"/>
    <w:rsid w:val="00875CE1"/>
    <w:rsid w:val="008766D1"/>
    <w:rsid w:val="0087747A"/>
    <w:rsid w:val="008813D2"/>
    <w:rsid w:val="008837CC"/>
    <w:rsid w:val="008838FA"/>
    <w:rsid w:val="00885056"/>
    <w:rsid w:val="00887664"/>
    <w:rsid w:val="00891294"/>
    <w:rsid w:val="00891CF7"/>
    <w:rsid w:val="008923EC"/>
    <w:rsid w:val="00892CFF"/>
    <w:rsid w:val="008A08AC"/>
    <w:rsid w:val="008A0BBB"/>
    <w:rsid w:val="008A100F"/>
    <w:rsid w:val="008A3073"/>
    <w:rsid w:val="008A3A59"/>
    <w:rsid w:val="008A4DD8"/>
    <w:rsid w:val="008A522D"/>
    <w:rsid w:val="008A5448"/>
    <w:rsid w:val="008A5AA6"/>
    <w:rsid w:val="008A68F7"/>
    <w:rsid w:val="008A6E04"/>
    <w:rsid w:val="008A7AE4"/>
    <w:rsid w:val="008A7B14"/>
    <w:rsid w:val="008B0DAE"/>
    <w:rsid w:val="008B16FA"/>
    <w:rsid w:val="008B18F3"/>
    <w:rsid w:val="008B1C8F"/>
    <w:rsid w:val="008B25E6"/>
    <w:rsid w:val="008B26B0"/>
    <w:rsid w:val="008B2C96"/>
    <w:rsid w:val="008B5812"/>
    <w:rsid w:val="008B684C"/>
    <w:rsid w:val="008B6CA3"/>
    <w:rsid w:val="008B76A8"/>
    <w:rsid w:val="008B7D6A"/>
    <w:rsid w:val="008C0062"/>
    <w:rsid w:val="008C0E35"/>
    <w:rsid w:val="008C1FE7"/>
    <w:rsid w:val="008C2CB4"/>
    <w:rsid w:val="008C4D86"/>
    <w:rsid w:val="008C57ED"/>
    <w:rsid w:val="008C5C22"/>
    <w:rsid w:val="008C65E9"/>
    <w:rsid w:val="008C67B2"/>
    <w:rsid w:val="008C67D1"/>
    <w:rsid w:val="008D0231"/>
    <w:rsid w:val="008D096C"/>
    <w:rsid w:val="008D103F"/>
    <w:rsid w:val="008D2ED5"/>
    <w:rsid w:val="008D3610"/>
    <w:rsid w:val="008D4FF9"/>
    <w:rsid w:val="008D5674"/>
    <w:rsid w:val="008D653C"/>
    <w:rsid w:val="008D6F44"/>
    <w:rsid w:val="008E094C"/>
    <w:rsid w:val="008E0F3D"/>
    <w:rsid w:val="008E18A8"/>
    <w:rsid w:val="008E1D2E"/>
    <w:rsid w:val="008E2B3A"/>
    <w:rsid w:val="008E2D88"/>
    <w:rsid w:val="008E42B6"/>
    <w:rsid w:val="008E5464"/>
    <w:rsid w:val="008E6708"/>
    <w:rsid w:val="008E68B7"/>
    <w:rsid w:val="008E7408"/>
    <w:rsid w:val="008E7FE3"/>
    <w:rsid w:val="008F1387"/>
    <w:rsid w:val="008F2E53"/>
    <w:rsid w:val="008F5FA6"/>
    <w:rsid w:val="008F6776"/>
    <w:rsid w:val="008F6ED4"/>
    <w:rsid w:val="008F7D7D"/>
    <w:rsid w:val="00904232"/>
    <w:rsid w:val="0090495D"/>
    <w:rsid w:val="009112F6"/>
    <w:rsid w:val="00913459"/>
    <w:rsid w:val="00913A5C"/>
    <w:rsid w:val="00920966"/>
    <w:rsid w:val="00920C1B"/>
    <w:rsid w:val="00921D59"/>
    <w:rsid w:val="00921F42"/>
    <w:rsid w:val="00922614"/>
    <w:rsid w:val="00922A63"/>
    <w:rsid w:val="0092559A"/>
    <w:rsid w:val="0092569B"/>
    <w:rsid w:val="0092776A"/>
    <w:rsid w:val="009305E0"/>
    <w:rsid w:val="00931EB0"/>
    <w:rsid w:val="009323EA"/>
    <w:rsid w:val="00933810"/>
    <w:rsid w:val="00933DC3"/>
    <w:rsid w:val="00934D69"/>
    <w:rsid w:val="00935CAE"/>
    <w:rsid w:val="00936067"/>
    <w:rsid w:val="00937E70"/>
    <w:rsid w:val="00937FD1"/>
    <w:rsid w:val="00940665"/>
    <w:rsid w:val="009413AF"/>
    <w:rsid w:val="00941EC5"/>
    <w:rsid w:val="009428E0"/>
    <w:rsid w:val="00942A88"/>
    <w:rsid w:val="00943F1E"/>
    <w:rsid w:val="009449E3"/>
    <w:rsid w:val="009456C3"/>
    <w:rsid w:val="009458FF"/>
    <w:rsid w:val="00945DA8"/>
    <w:rsid w:val="009469FC"/>
    <w:rsid w:val="009530A0"/>
    <w:rsid w:val="00953109"/>
    <w:rsid w:val="00960BFD"/>
    <w:rsid w:val="009616B2"/>
    <w:rsid w:val="00961E38"/>
    <w:rsid w:val="00962DCE"/>
    <w:rsid w:val="00962E73"/>
    <w:rsid w:val="00972741"/>
    <w:rsid w:val="00974C74"/>
    <w:rsid w:val="00974FDE"/>
    <w:rsid w:val="009751BF"/>
    <w:rsid w:val="00976C81"/>
    <w:rsid w:val="00977B27"/>
    <w:rsid w:val="00980D37"/>
    <w:rsid w:val="0098169A"/>
    <w:rsid w:val="009817C2"/>
    <w:rsid w:val="00981DC9"/>
    <w:rsid w:val="00982CAA"/>
    <w:rsid w:val="00983CE4"/>
    <w:rsid w:val="009858B7"/>
    <w:rsid w:val="0098596B"/>
    <w:rsid w:val="00986145"/>
    <w:rsid w:val="009877D1"/>
    <w:rsid w:val="00987BDF"/>
    <w:rsid w:val="0099023D"/>
    <w:rsid w:val="00991042"/>
    <w:rsid w:val="0099133A"/>
    <w:rsid w:val="00993D8E"/>
    <w:rsid w:val="00994939"/>
    <w:rsid w:val="00997E8C"/>
    <w:rsid w:val="009A11BA"/>
    <w:rsid w:val="009A447A"/>
    <w:rsid w:val="009B1BF1"/>
    <w:rsid w:val="009B26EE"/>
    <w:rsid w:val="009B2CA8"/>
    <w:rsid w:val="009C05F8"/>
    <w:rsid w:val="009C1ED9"/>
    <w:rsid w:val="009C3555"/>
    <w:rsid w:val="009C421A"/>
    <w:rsid w:val="009C4A08"/>
    <w:rsid w:val="009C4E94"/>
    <w:rsid w:val="009C7573"/>
    <w:rsid w:val="009D262A"/>
    <w:rsid w:val="009D34B0"/>
    <w:rsid w:val="009D622D"/>
    <w:rsid w:val="009D776C"/>
    <w:rsid w:val="009D7979"/>
    <w:rsid w:val="009E0028"/>
    <w:rsid w:val="009E0A8C"/>
    <w:rsid w:val="009E1954"/>
    <w:rsid w:val="009E23E9"/>
    <w:rsid w:val="009E2DBA"/>
    <w:rsid w:val="009E3365"/>
    <w:rsid w:val="009E6879"/>
    <w:rsid w:val="009F27EA"/>
    <w:rsid w:val="009F49C6"/>
    <w:rsid w:val="009F501A"/>
    <w:rsid w:val="009F5348"/>
    <w:rsid w:val="009F672C"/>
    <w:rsid w:val="009F6DEB"/>
    <w:rsid w:val="009F7231"/>
    <w:rsid w:val="009F7264"/>
    <w:rsid w:val="00A012BC"/>
    <w:rsid w:val="00A012CF"/>
    <w:rsid w:val="00A0301D"/>
    <w:rsid w:val="00A03F32"/>
    <w:rsid w:val="00A058FD"/>
    <w:rsid w:val="00A07BE8"/>
    <w:rsid w:val="00A125BA"/>
    <w:rsid w:val="00A12CEA"/>
    <w:rsid w:val="00A15E9A"/>
    <w:rsid w:val="00A160B8"/>
    <w:rsid w:val="00A21BA7"/>
    <w:rsid w:val="00A220EE"/>
    <w:rsid w:val="00A226BF"/>
    <w:rsid w:val="00A23579"/>
    <w:rsid w:val="00A23A5F"/>
    <w:rsid w:val="00A260C8"/>
    <w:rsid w:val="00A277F7"/>
    <w:rsid w:val="00A30158"/>
    <w:rsid w:val="00A35954"/>
    <w:rsid w:val="00A36829"/>
    <w:rsid w:val="00A37DFB"/>
    <w:rsid w:val="00A41A30"/>
    <w:rsid w:val="00A43AAB"/>
    <w:rsid w:val="00A44761"/>
    <w:rsid w:val="00A4659B"/>
    <w:rsid w:val="00A46802"/>
    <w:rsid w:val="00A47691"/>
    <w:rsid w:val="00A47CBD"/>
    <w:rsid w:val="00A55F31"/>
    <w:rsid w:val="00A55F8F"/>
    <w:rsid w:val="00A5757F"/>
    <w:rsid w:val="00A576C4"/>
    <w:rsid w:val="00A600AD"/>
    <w:rsid w:val="00A63C67"/>
    <w:rsid w:val="00A648FA"/>
    <w:rsid w:val="00A6510B"/>
    <w:rsid w:val="00A66327"/>
    <w:rsid w:val="00A664CB"/>
    <w:rsid w:val="00A6715B"/>
    <w:rsid w:val="00A70A18"/>
    <w:rsid w:val="00A70F6E"/>
    <w:rsid w:val="00A7459E"/>
    <w:rsid w:val="00A757F9"/>
    <w:rsid w:val="00A75A0A"/>
    <w:rsid w:val="00A7603B"/>
    <w:rsid w:val="00A77DBD"/>
    <w:rsid w:val="00A8001E"/>
    <w:rsid w:val="00A80B86"/>
    <w:rsid w:val="00A81529"/>
    <w:rsid w:val="00A81AB0"/>
    <w:rsid w:val="00A82469"/>
    <w:rsid w:val="00A82834"/>
    <w:rsid w:val="00A83EE5"/>
    <w:rsid w:val="00A86B4C"/>
    <w:rsid w:val="00A86E2B"/>
    <w:rsid w:val="00A87F71"/>
    <w:rsid w:val="00A900CD"/>
    <w:rsid w:val="00A9018C"/>
    <w:rsid w:val="00A904EE"/>
    <w:rsid w:val="00A94B6B"/>
    <w:rsid w:val="00A95802"/>
    <w:rsid w:val="00A958A1"/>
    <w:rsid w:val="00A97669"/>
    <w:rsid w:val="00AA3B23"/>
    <w:rsid w:val="00AA5A87"/>
    <w:rsid w:val="00AA6638"/>
    <w:rsid w:val="00AA6FB1"/>
    <w:rsid w:val="00AA7C87"/>
    <w:rsid w:val="00AA7CDF"/>
    <w:rsid w:val="00AB6C59"/>
    <w:rsid w:val="00AC0CD4"/>
    <w:rsid w:val="00AC23E8"/>
    <w:rsid w:val="00AC2E4B"/>
    <w:rsid w:val="00AC333B"/>
    <w:rsid w:val="00AC3EE9"/>
    <w:rsid w:val="00AC597C"/>
    <w:rsid w:val="00AC7434"/>
    <w:rsid w:val="00AC7FE6"/>
    <w:rsid w:val="00AD0F9D"/>
    <w:rsid w:val="00AD181B"/>
    <w:rsid w:val="00AD1EF9"/>
    <w:rsid w:val="00AD2CB8"/>
    <w:rsid w:val="00AD2F00"/>
    <w:rsid w:val="00AD317F"/>
    <w:rsid w:val="00AD7B12"/>
    <w:rsid w:val="00AE17EA"/>
    <w:rsid w:val="00AE2E39"/>
    <w:rsid w:val="00AE2FD3"/>
    <w:rsid w:val="00AE53EE"/>
    <w:rsid w:val="00AE61CD"/>
    <w:rsid w:val="00AE6A50"/>
    <w:rsid w:val="00AF3964"/>
    <w:rsid w:val="00AF4F94"/>
    <w:rsid w:val="00AF52CF"/>
    <w:rsid w:val="00AF632D"/>
    <w:rsid w:val="00B01070"/>
    <w:rsid w:val="00B01072"/>
    <w:rsid w:val="00B0158B"/>
    <w:rsid w:val="00B01E81"/>
    <w:rsid w:val="00B022BD"/>
    <w:rsid w:val="00B04550"/>
    <w:rsid w:val="00B06126"/>
    <w:rsid w:val="00B063DB"/>
    <w:rsid w:val="00B07084"/>
    <w:rsid w:val="00B07C64"/>
    <w:rsid w:val="00B12133"/>
    <w:rsid w:val="00B1424F"/>
    <w:rsid w:val="00B17759"/>
    <w:rsid w:val="00B2002E"/>
    <w:rsid w:val="00B20AA0"/>
    <w:rsid w:val="00B21F19"/>
    <w:rsid w:val="00B23D16"/>
    <w:rsid w:val="00B31B3C"/>
    <w:rsid w:val="00B31DC4"/>
    <w:rsid w:val="00B326D9"/>
    <w:rsid w:val="00B3325F"/>
    <w:rsid w:val="00B335A0"/>
    <w:rsid w:val="00B341D7"/>
    <w:rsid w:val="00B37CB0"/>
    <w:rsid w:val="00B40468"/>
    <w:rsid w:val="00B41406"/>
    <w:rsid w:val="00B43AC2"/>
    <w:rsid w:val="00B45ECB"/>
    <w:rsid w:val="00B461CE"/>
    <w:rsid w:val="00B4628D"/>
    <w:rsid w:val="00B46627"/>
    <w:rsid w:val="00B4694C"/>
    <w:rsid w:val="00B474AB"/>
    <w:rsid w:val="00B51CC9"/>
    <w:rsid w:val="00B52CFC"/>
    <w:rsid w:val="00B53F6A"/>
    <w:rsid w:val="00B554F4"/>
    <w:rsid w:val="00B56EDF"/>
    <w:rsid w:val="00B57265"/>
    <w:rsid w:val="00B57372"/>
    <w:rsid w:val="00B61290"/>
    <w:rsid w:val="00B6342A"/>
    <w:rsid w:val="00B709E1"/>
    <w:rsid w:val="00B711E6"/>
    <w:rsid w:val="00B73814"/>
    <w:rsid w:val="00B7542F"/>
    <w:rsid w:val="00B80CE2"/>
    <w:rsid w:val="00B81058"/>
    <w:rsid w:val="00B8155A"/>
    <w:rsid w:val="00B81E6B"/>
    <w:rsid w:val="00B8468C"/>
    <w:rsid w:val="00B848E8"/>
    <w:rsid w:val="00B84E3C"/>
    <w:rsid w:val="00B86664"/>
    <w:rsid w:val="00B8684D"/>
    <w:rsid w:val="00B903D9"/>
    <w:rsid w:val="00B90DF2"/>
    <w:rsid w:val="00B919F5"/>
    <w:rsid w:val="00B923A9"/>
    <w:rsid w:val="00B93C12"/>
    <w:rsid w:val="00B94ADA"/>
    <w:rsid w:val="00B973A7"/>
    <w:rsid w:val="00BA09C5"/>
    <w:rsid w:val="00BA1ED4"/>
    <w:rsid w:val="00BA2049"/>
    <w:rsid w:val="00BA253F"/>
    <w:rsid w:val="00BA773E"/>
    <w:rsid w:val="00BB05D6"/>
    <w:rsid w:val="00BB1A8D"/>
    <w:rsid w:val="00BB3DC4"/>
    <w:rsid w:val="00BB6431"/>
    <w:rsid w:val="00BB6588"/>
    <w:rsid w:val="00BB7875"/>
    <w:rsid w:val="00BC0C2C"/>
    <w:rsid w:val="00BC0E91"/>
    <w:rsid w:val="00BC3890"/>
    <w:rsid w:val="00BC41D1"/>
    <w:rsid w:val="00BC4DFA"/>
    <w:rsid w:val="00BD2BC6"/>
    <w:rsid w:val="00BD4FB1"/>
    <w:rsid w:val="00BD62B4"/>
    <w:rsid w:val="00BD7F42"/>
    <w:rsid w:val="00BE0D8C"/>
    <w:rsid w:val="00BE0FE6"/>
    <w:rsid w:val="00BE2234"/>
    <w:rsid w:val="00BE22D4"/>
    <w:rsid w:val="00BE2F81"/>
    <w:rsid w:val="00BE57DA"/>
    <w:rsid w:val="00BF0B2F"/>
    <w:rsid w:val="00BF2329"/>
    <w:rsid w:val="00BF44B2"/>
    <w:rsid w:val="00BF7989"/>
    <w:rsid w:val="00C00635"/>
    <w:rsid w:val="00C0082D"/>
    <w:rsid w:val="00C035F6"/>
    <w:rsid w:val="00C05074"/>
    <w:rsid w:val="00C075E3"/>
    <w:rsid w:val="00C07648"/>
    <w:rsid w:val="00C106CF"/>
    <w:rsid w:val="00C10B0F"/>
    <w:rsid w:val="00C1279B"/>
    <w:rsid w:val="00C13905"/>
    <w:rsid w:val="00C15843"/>
    <w:rsid w:val="00C175CF"/>
    <w:rsid w:val="00C17FE3"/>
    <w:rsid w:val="00C20E4B"/>
    <w:rsid w:val="00C20F72"/>
    <w:rsid w:val="00C21583"/>
    <w:rsid w:val="00C22965"/>
    <w:rsid w:val="00C23158"/>
    <w:rsid w:val="00C23252"/>
    <w:rsid w:val="00C243B1"/>
    <w:rsid w:val="00C24747"/>
    <w:rsid w:val="00C25B47"/>
    <w:rsid w:val="00C279EC"/>
    <w:rsid w:val="00C32EF5"/>
    <w:rsid w:val="00C34504"/>
    <w:rsid w:val="00C41336"/>
    <w:rsid w:val="00C413B8"/>
    <w:rsid w:val="00C42873"/>
    <w:rsid w:val="00C42A12"/>
    <w:rsid w:val="00C43CBC"/>
    <w:rsid w:val="00C4607E"/>
    <w:rsid w:val="00C46FE2"/>
    <w:rsid w:val="00C5009C"/>
    <w:rsid w:val="00C5048B"/>
    <w:rsid w:val="00C5069C"/>
    <w:rsid w:val="00C531E4"/>
    <w:rsid w:val="00C55369"/>
    <w:rsid w:val="00C56924"/>
    <w:rsid w:val="00C60BBE"/>
    <w:rsid w:val="00C61E75"/>
    <w:rsid w:val="00C61FE5"/>
    <w:rsid w:val="00C6409F"/>
    <w:rsid w:val="00C67131"/>
    <w:rsid w:val="00C71785"/>
    <w:rsid w:val="00C74A15"/>
    <w:rsid w:val="00C74AE9"/>
    <w:rsid w:val="00C7642D"/>
    <w:rsid w:val="00C77B7B"/>
    <w:rsid w:val="00C81373"/>
    <w:rsid w:val="00C81F93"/>
    <w:rsid w:val="00C83DCA"/>
    <w:rsid w:val="00C84798"/>
    <w:rsid w:val="00C84927"/>
    <w:rsid w:val="00C9209F"/>
    <w:rsid w:val="00C924F7"/>
    <w:rsid w:val="00C925AC"/>
    <w:rsid w:val="00C92F89"/>
    <w:rsid w:val="00C935E3"/>
    <w:rsid w:val="00C94BB2"/>
    <w:rsid w:val="00C94DED"/>
    <w:rsid w:val="00C94F88"/>
    <w:rsid w:val="00C975E6"/>
    <w:rsid w:val="00C97EF0"/>
    <w:rsid w:val="00CA0175"/>
    <w:rsid w:val="00CA486A"/>
    <w:rsid w:val="00CA7690"/>
    <w:rsid w:val="00CB16EB"/>
    <w:rsid w:val="00CB3678"/>
    <w:rsid w:val="00CB3A84"/>
    <w:rsid w:val="00CB3E72"/>
    <w:rsid w:val="00CB3F94"/>
    <w:rsid w:val="00CB4E5C"/>
    <w:rsid w:val="00CB5544"/>
    <w:rsid w:val="00CB581B"/>
    <w:rsid w:val="00CC0098"/>
    <w:rsid w:val="00CC0E7E"/>
    <w:rsid w:val="00CC1C8F"/>
    <w:rsid w:val="00CC6669"/>
    <w:rsid w:val="00CD5644"/>
    <w:rsid w:val="00CD5BAD"/>
    <w:rsid w:val="00CD63DA"/>
    <w:rsid w:val="00CE20D4"/>
    <w:rsid w:val="00CE286D"/>
    <w:rsid w:val="00CE3034"/>
    <w:rsid w:val="00CE3C46"/>
    <w:rsid w:val="00CE43B4"/>
    <w:rsid w:val="00CE45AB"/>
    <w:rsid w:val="00CE5631"/>
    <w:rsid w:val="00CE5DB6"/>
    <w:rsid w:val="00CE5DCF"/>
    <w:rsid w:val="00CE7DFC"/>
    <w:rsid w:val="00CF268B"/>
    <w:rsid w:val="00CF278F"/>
    <w:rsid w:val="00CF34C8"/>
    <w:rsid w:val="00CF34EE"/>
    <w:rsid w:val="00CF39CF"/>
    <w:rsid w:val="00CF3D88"/>
    <w:rsid w:val="00CF5DAA"/>
    <w:rsid w:val="00CF716D"/>
    <w:rsid w:val="00D02BEA"/>
    <w:rsid w:val="00D04141"/>
    <w:rsid w:val="00D04A03"/>
    <w:rsid w:val="00D06949"/>
    <w:rsid w:val="00D110A2"/>
    <w:rsid w:val="00D14275"/>
    <w:rsid w:val="00D155C5"/>
    <w:rsid w:val="00D16908"/>
    <w:rsid w:val="00D17252"/>
    <w:rsid w:val="00D17272"/>
    <w:rsid w:val="00D17C99"/>
    <w:rsid w:val="00D21B40"/>
    <w:rsid w:val="00D2447C"/>
    <w:rsid w:val="00D26434"/>
    <w:rsid w:val="00D26788"/>
    <w:rsid w:val="00D27DBF"/>
    <w:rsid w:val="00D33BF9"/>
    <w:rsid w:val="00D344EB"/>
    <w:rsid w:val="00D35D26"/>
    <w:rsid w:val="00D36C61"/>
    <w:rsid w:val="00D41C60"/>
    <w:rsid w:val="00D425D7"/>
    <w:rsid w:val="00D44427"/>
    <w:rsid w:val="00D45263"/>
    <w:rsid w:val="00D46BDC"/>
    <w:rsid w:val="00D47A51"/>
    <w:rsid w:val="00D50725"/>
    <w:rsid w:val="00D5107B"/>
    <w:rsid w:val="00D515A4"/>
    <w:rsid w:val="00D51727"/>
    <w:rsid w:val="00D53AF5"/>
    <w:rsid w:val="00D565E9"/>
    <w:rsid w:val="00D56910"/>
    <w:rsid w:val="00D600A0"/>
    <w:rsid w:val="00D60CBA"/>
    <w:rsid w:val="00D61DD4"/>
    <w:rsid w:val="00D622ED"/>
    <w:rsid w:val="00D623C8"/>
    <w:rsid w:val="00D64431"/>
    <w:rsid w:val="00D646EE"/>
    <w:rsid w:val="00D710DD"/>
    <w:rsid w:val="00D71319"/>
    <w:rsid w:val="00D71986"/>
    <w:rsid w:val="00D75014"/>
    <w:rsid w:val="00D8037A"/>
    <w:rsid w:val="00D80708"/>
    <w:rsid w:val="00D8198A"/>
    <w:rsid w:val="00D82978"/>
    <w:rsid w:val="00D84705"/>
    <w:rsid w:val="00D8574F"/>
    <w:rsid w:val="00D86C32"/>
    <w:rsid w:val="00D87692"/>
    <w:rsid w:val="00D876A7"/>
    <w:rsid w:val="00D879B5"/>
    <w:rsid w:val="00D903C3"/>
    <w:rsid w:val="00D90B1A"/>
    <w:rsid w:val="00D910C1"/>
    <w:rsid w:val="00D93314"/>
    <w:rsid w:val="00D935CA"/>
    <w:rsid w:val="00D97207"/>
    <w:rsid w:val="00D97A52"/>
    <w:rsid w:val="00DA0E6F"/>
    <w:rsid w:val="00DA5522"/>
    <w:rsid w:val="00DA6BE8"/>
    <w:rsid w:val="00DA6D0B"/>
    <w:rsid w:val="00DB1E3F"/>
    <w:rsid w:val="00DB29C9"/>
    <w:rsid w:val="00DB35D3"/>
    <w:rsid w:val="00DB378C"/>
    <w:rsid w:val="00DB4DD7"/>
    <w:rsid w:val="00DB72C6"/>
    <w:rsid w:val="00DC093C"/>
    <w:rsid w:val="00DC15DD"/>
    <w:rsid w:val="00DC2446"/>
    <w:rsid w:val="00DC3FF1"/>
    <w:rsid w:val="00DC5017"/>
    <w:rsid w:val="00DC53ED"/>
    <w:rsid w:val="00DC5618"/>
    <w:rsid w:val="00DD0023"/>
    <w:rsid w:val="00DD11E8"/>
    <w:rsid w:val="00DD23F7"/>
    <w:rsid w:val="00DD2E50"/>
    <w:rsid w:val="00DD2E61"/>
    <w:rsid w:val="00DD31C6"/>
    <w:rsid w:val="00DD43B4"/>
    <w:rsid w:val="00DD442C"/>
    <w:rsid w:val="00DD4F8E"/>
    <w:rsid w:val="00DD5A6D"/>
    <w:rsid w:val="00DE12D2"/>
    <w:rsid w:val="00DE1E48"/>
    <w:rsid w:val="00DE3B85"/>
    <w:rsid w:val="00DE57F8"/>
    <w:rsid w:val="00DE5900"/>
    <w:rsid w:val="00DE64D4"/>
    <w:rsid w:val="00DE6B81"/>
    <w:rsid w:val="00DE7E5B"/>
    <w:rsid w:val="00DF0576"/>
    <w:rsid w:val="00DF0F1A"/>
    <w:rsid w:val="00DF4460"/>
    <w:rsid w:val="00DF46BF"/>
    <w:rsid w:val="00DF48CD"/>
    <w:rsid w:val="00DF61A1"/>
    <w:rsid w:val="00E0031A"/>
    <w:rsid w:val="00E0614E"/>
    <w:rsid w:val="00E10129"/>
    <w:rsid w:val="00E10BEB"/>
    <w:rsid w:val="00E10C61"/>
    <w:rsid w:val="00E1432A"/>
    <w:rsid w:val="00E151A8"/>
    <w:rsid w:val="00E15B7E"/>
    <w:rsid w:val="00E16029"/>
    <w:rsid w:val="00E17843"/>
    <w:rsid w:val="00E20114"/>
    <w:rsid w:val="00E2357D"/>
    <w:rsid w:val="00E242DC"/>
    <w:rsid w:val="00E25BDE"/>
    <w:rsid w:val="00E271D6"/>
    <w:rsid w:val="00E30301"/>
    <w:rsid w:val="00E30E7D"/>
    <w:rsid w:val="00E31A1B"/>
    <w:rsid w:val="00E3492F"/>
    <w:rsid w:val="00E35DB6"/>
    <w:rsid w:val="00E36EF1"/>
    <w:rsid w:val="00E37E8C"/>
    <w:rsid w:val="00E401BD"/>
    <w:rsid w:val="00E4130E"/>
    <w:rsid w:val="00E43EE6"/>
    <w:rsid w:val="00E46FFE"/>
    <w:rsid w:val="00E51D65"/>
    <w:rsid w:val="00E52BED"/>
    <w:rsid w:val="00E53470"/>
    <w:rsid w:val="00E53628"/>
    <w:rsid w:val="00E53C21"/>
    <w:rsid w:val="00E55546"/>
    <w:rsid w:val="00E562BC"/>
    <w:rsid w:val="00E563E5"/>
    <w:rsid w:val="00E6198B"/>
    <w:rsid w:val="00E61F6B"/>
    <w:rsid w:val="00E62E3B"/>
    <w:rsid w:val="00E63D41"/>
    <w:rsid w:val="00E64778"/>
    <w:rsid w:val="00E65498"/>
    <w:rsid w:val="00E6623D"/>
    <w:rsid w:val="00E66DDF"/>
    <w:rsid w:val="00E70092"/>
    <w:rsid w:val="00E724A3"/>
    <w:rsid w:val="00E758E3"/>
    <w:rsid w:val="00E8391F"/>
    <w:rsid w:val="00E83CB0"/>
    <w:rsid w:val="00E8414E"/>
    <w:rsid w:val="00E853A8"/>
    <w:rsid w:val="00E85D8D"/>
    <w:rsid w:val="00E86789"/>
    <w:rsid w:val="00E9055F"/>
    <w:rsid w:val="00E92C0E"/>
    <w:rsid w:val="00E94B58"/>
    <w:rsid w:val="00E94DF2"/>
    <w:rsid w:val="00E9662C"/>
    <w:rsid w:val="00EA06A0"/>
    <w:rsid w:val="00EA36BC"/>
    <w:rsid w:val="00EA4938"/>
    <w:rsid w:val="00EA4B72"/>
    <w:rsid w:val="00EA4E7E"/>
    <w:rsid w:val="00EA5E92"/>
    <w:rsid w:val="00EA6A1A"/>
    <w:rsid w:val="00EA74E9"/>
    <w:rsid w:val="00EA7C03"/>
    <w:rsid w:val="00EB0320"/>
    <w:rsid w:val="00EB0C15"/>
    <w:rsid w:val="00EB0DA2"/>
    <w:rsid w:val="00EB3573"/>
    <w:rsid w:val="00EB46EE"/>
    <w:rsid w:val="00EB6608"/>
    <w:rsid w:val="00EB68F4"/>
    <w:rsid w:val="00EC005D"/>
    <w:rsid w:val="00EC0108"/>
    <w:rsid w:val="00EC1DDF"/>
    <w:rsid w:val="00EC2969"/>
    <w:rsid w:val="00ED2C16"/>
    <w:rsid w:val="00ED5502"/>
    <w:rsid w:val="00ED681B"/>
    <w:rsid w:val="00ED6F3A"/>
    <w:rsid w:val="00EE3556"/>
    <w:rsid w:val="00EE64E5"/>
    <w:rsid w:val="00EE6602"/>
    <w:rsid w:val="00EE7DB2"/>
    <w:rsid w:val="00EF31EB"/>
    <w:rsid w:val="00EF38A1"/>
    <w:rsid w:val="00EF3E40"/>
    <w:rsid w:val="00F00CC9"/>
    <w:rsid w:val="00F05B32"/>
    <w:rsid w:val="00F06EF8"/>
    <w:rsid w:val="00F10BF3"/>
    <w:rsid w:val="00F1198F"/>
    <w:rsid w:val="00F14A4D"/>
    <w:rsid w:val="00F215AD"/>
    <w:rsid w:val="00F27D60"/>
    <w:rsid w:val="00F33AE7"/>
    <w:rsid w:val="00F33D5F"/>
    <w:rsid w:val="00F340AA"/>
    <w:rsid w:val="00F37EAC"/>
    <w:rsid w:val="00F409EE"/>
    <w:rsid w:val="00F41662"/>
    <w:rsid w:val="00F428AF"/>
    <w:rsid w:val="00F434B4"/>
    <w:rsid w:val="00F4387F"/>
    <w:rsid w:val="00F4403C"/>
    <w:rsid w:val="00F450CA"/>
    <w:rsid w:val="00F53FC0"/>
    <w:rsid w:val="00F551FF"/>
    <w:rsid w:val="00F55360"/>
    <w:rsid w:val="00F621AE"/>
    <w:rsid w:val="00F63869"/>
    <w:rsid w:val="00F64539"/>
    <w:rsid w:val="00F65EF9"/>
    <w:rsid w:val="00F73833"/>
    <w:rsid w:val="00F74C8D"/>
    <w:rsid w:val="00F754A8"/>
    <w:rsid w:val="00F75B3E"/>
    <w:rsid w:val="00F766E9"/>
    <w:rsid w:val="00F80D78"/>
    <w:rsid w:val="00F815A5"/>
    <w:rsid w:val="00F823C1"/>
    <w:rsid w:val="00F83831"/>
    <w:rsid w:val="00F8452F"/>
    <w:rsid w:val="00F869D0"/>
    <w:rsid w:val="00F878E8"/>
    <w:rsid w:val="00F90FA9"/>
    <w:rsid w:val="00F924F7"/>
    <w:rsid w:val="00F93F98"/>
    <w:rsid w:val="00F945D2"/>
    <w:rsid w:val="00F9555C"/>
    <w:rsid w:val="00F960BF"/>
    <w:rsid w:val="00F97831"/>
    <w:rsid w:val="00FA1093"/>
    <w:rsid w:val="00FA1761"/>
    <w:rsid w:val="00FA19F3"/>
    <w:rsid w:val="00FA2EE8"/>
    <w:rsid w:val="00FA3A22"/>
    <w:rsid w:val="00FA4669"/>
    <w:rsid w:val="00FA4EFF"/>
    <w:rsid w:val="00FA576F"/>
    <w:rsid w:val="00FA57C4"/>
    <w:rsid w:val="00FA6A58"/>
    <w:rsid w:val="00FA6D75"/>
    <w:rsid w:val="00FA7E26"/>
    <w:rsid w:val="00FB1276"/>
    <w:rsid w:val="00FB2355"/>
    <w:rsid w:val="00FB2B08"/>
    <w:rsid w:val="00FB2D4D"/>
    <w:rsid w:val="00FB4C3F"/>
    <w:rsid w:val="00FC0D3B"/>
    <w:rsid w:val="00FC25AF"/>
    <w:rsid w:val="00FC4BFD"/>
    <w:rsid w:val="00FC54E9"/>
    <w:rsid w:val="00FC67F1"/>
    <w:rsid w:val="00FD0314"/>
    <w:rsid w:val="00FD0B42"/>
    <w:rsid w:val="00FD0C6C"/>
    <w:rsid w:val="00FD0E7D"/>
    <w:rsid w:val="00FD1814"/>
    <w:rsid w:val="00FD3E34"/>
    <w:rsid w:val="00FD6729"/>
    <w:rsid w:val="00FD7AA8"/>
    <w:rsid w:val="00FE24D3"/>
    <w:rsid w:val="00FE2915"/>
    <w:rsid w:val="00FE5280"/>
    <w:rsid w:val="00FE663E"/>
    <w:rsid w:val="00FF2C43"/>
    <w:rsid w:val="00FF5EF2"/>
    <w:rsid w:val="00FF6FEA"/>
    <w:rsid w:val="00FF71D3"/>
    <w:rsid w:val="011941B1"/>
    <w:rsid w:val="011B47C1"/>
    <w:rsid w:val="01C52FFB"/>
    <w:rsid w:val="02BE0ED9"/>
    <w:rsid w:val="02D672C0"/>
    <w:rsid w:val="02F2197A"/>
    <w:rsid w:val="03CA784E"/>
    <w:rsid w:val="053E3777"/>
    <w:rsid w:val="08131685"/>
    <w:rsid w:val="08EE4992"/>
    <w:rsid w:val="09ED6BDE"/>
    <w:rsid w:val="0AAC6AA7"/>
    <w:rsid w:val="0AD87A32"/>
    <w:rsid w:val="0DFC36AD"/>
    <w:rsid w:val="0E80608C"/>
    <w:rsid w:val="0F3A6740"/>
    <w:rsid w:val="0F832F47"/>
    <w:rsid w:val="10571A93"/>
    <w:rsid w:val="10C33FE0"/>
    <w:rsid w:val="112847B9"/>
    <w:rsid w:val="11292249"/>
    <w:rsid w:val="1215570E"/>
    <w:rsid w:val="1216149B"/>
    <w:rsid w:val="12A165D1"/>
    <w:rsid w:val="12FD6938"/>
    <w:rsid w:val="13647667"/>
    <w:rsid w:val="138A211E"/>
    <w:rsid w:val="14E77015"/>
    <w:rsid w:val="15F72D24"/>
    <w:rsid w:val="163A10B9"/>
    <w:rsid w:val="17C47B21"/>
    <w:rsid w:val="17E551B2"/>
    <w:rsid w:val="18BA1E70"/>
    <w:rsid w:val="18C96881"/>
    <w:rsid w:val="19597C05"/>
    <w:rsid w:val="1A8F0264"/>
    <w:rsid w:val="1CA82A3B"/>
    <w:rsid w:val="1CCE2498"/>
    <w:rsid w:val="1D73359C"/>
    <w:rsid w:val="1E184D63"/>
    <w:rsid w:val="1EDA210A"/>
    <w:rsid w:val="20401CD1"/>
    <w:rsid w:val="21A909B3"/>
    <w:rsid w:val="22395D51"/>
    <w:rsid w:val="2293268A"/>
    <w:rsid w:val="23332CA9"/>
    <w:rsid w:val="235E4EC9"/>
    <w:rsid w:val="236F5B84"/>
    <w:rsid w:val="23874C74"/>
    <w:rsid w:val="25577154"/>
    <w:rsid w:val="257F27A2"/>
    <w:rsid w:val="29F6405E"/>
    <w:rsid w:val="2B950547"/>
    <w:rsid w:val="2BC27D07"/>
    <w:rsid w:val="2C03649D"/>
    <w:rsid w:val="2C950AFD"/>
    <w:rsid w:val="2D7A5DEE"/>
    <w:rsid w:val="2E150147"/>
    <w:rsid w:val="2F5F766A"/>
    <w:rsid w:val="302E04EC"/>
    <w:rsid w:val="31BB783C"/>
    <w:rsid w:val="32E82451"/>
    <w:rsid w:val="34F4237D"/>
    <w:rsid w:val="350607E9"/>
    <w:rsid w:val="38565EAD"/>
    <w:rsid w:val="387F1D62"/>
    <w:rsid w:val="39DF785B"/>
    <w:rsid w:val="39E9394E"/>
    <w:rsid w:val="3AA34F26"/>
    <w:rsid w:val="3B294E34"/>
    <w:rsid w:val="3B74342D"/>
    <w:rsid w:val="3C9E57AB"/>
    <w:rsid w:val="3CA91597"/>
    <w:rsid w:val="3D3B7DD8"/>
    <w:rsid w:val="3DFD4EC7"/>
    <w:rsid w:val="3EA52F01"/>
    <w:rsid w:val="3EBE027B"/>
    <w:rsid w:val="3F446BE2"/>
    <w:rsid w:val="3FEC4F91"/>
    <w:rsid w:val="405C5B16"/>
    <w:rsid w:val="40F005A0"/>
    <w:rsid w:val="42C1662A"/>
    <w:rsid w:val="42FF2D1C"/>
    <w:rsid w:val="44B826EF"/>
    <w:rsid w:val="453F46F2"/>
    <w:rsid w:val="463F3357"/>
    <w:rsid w:val="47887563"/>
    <w:rsid w:val="478A6356"/>
    <w:rsid w:val="481C1699"/>
    <w:rsid w:val="48390A7E"/>
    <w:rsid w:val="48737F13"/>
    <w:rsid w:val="488A40EF"/>
    <w:rsid w:val="48EB035D"/>
    <w:rsid w:val="4A301A0D"/>
    <w:rsid w:val="4A981779"/>
    <w:rsid w:val="4ACC04D9"/>
    <w:rsid w:val="4AD0753E"/>
    <w:rsid w:val="4BF52F0E"/>
    <w:rsid w:val="4E2F16D1"/>
    <w:rsid w:val="4FA009DD"/>
    <w:rsid w:val="4FEA5139"/>
    <w:rsid w:val="50C1619E"/>
    <w:rsid w:val="50E76856"/>
    <w:rsid w:val="50EE472B"/>
    <w:rsid w:val="526B5CD8"/>
    <w:rsid w:val="52B218CB"/>
    <w:rsid w:val="52C5331D"/>
    <w:rsid w:val="52F91536"/>
    <w:rsid w:val="53973DF5"/>
    <w:rsid w:val="53D63625"/>
    <w:rsid w:val="53DB0C54"/>
    <w:rsid w:val="54EE7AD3"/>
    <w:rsid w:val="56951575"/>
    <w:rsid w:val="57E83163"/>
    <w:rsid w:val="59520F97"/>
    <w:rsid w:val="59767012"/>
    <w:rsid w:val="5A785436"/>
    <w:rsid w:val="5AA1336A"/>
    <w:rsid w:val="5C427082"/>
    <w:rsid w:val="5DB91FED"/>
    <w:rsid w:val="5E56783C"/>
    <w:rsid w:val="5FA75E4E"/>
    <w:rsid w:val="607A7877"/>
    <w:rsid w:val="6109144A"/>
    <w:rsid w:val="62F56326"/>
    <w:rsid w:val="63A4104A"/>
    <w:rsid w:val="659C418C"/>
    <w:rsid w:val="65F331A1"/>
    <w:rsid w:val="675D7E8D"/>
    <w:rsid w:val="67825B46"/>
    <w:rsid w:val="69823BDB"/>
    <w:rsid w:val="69A845AE"/>
    <w:rsid w:val="6B807362"/>
    <w:rsid w:val="6BA93342"/>
    <w:rsid w:val="6C0B435C"/>
    <w:rsid w:val="6DA850C9"/>
    <w:rsid w:val="6F2E3E72"/>
    <w:rsid w:val="6F8E3D47"/>
    <w:rsid w:val="7016507D"/>
    <w:rsid w:val="71247327"/>
    <w:rsid w:val="71A14E1B"/>
    <w:rsid w:val="71EB187C"/>
    <w:rsid w:val="729A01E8"/>
    <w:rsid w:val="72AB41A3"/>
    <w:rsid w:val="74DC3C0E"/>
    <w:rsid w:val="76D90DF0"/>
    <w:rsid w:val="77442E61"/>
    <w:rsid w:val="779F1DFC"/>
    <w:rsid w:val="791431C4"/>
    <w:rsid w:val="7A524E7E"/>
    <w:rsid w:val="7B177BCB"/>
    <w:rsid w:val="7CF72D30"/>
    <w:rsid w:val="7D584F27"/>
    <w:rsid w:val="7D683C7F"/>
    <w:rsid w:val="7DD520D4"/>
    <w:rsid w:val="7EBD2B04"/>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iPriority="0" w:name="heading 8"/>
    <w:lsdException w:qFormat="1" w:uiPriority="0" w:name="heading 9"/>
    <w:lsdException w:unhideWhenUsed="0" w:uiPriority="0" w:name="index 1"/>
    <w:lsdException w:qFormat="1" w:unhideWhenUsed="0" w:uiPriority="0" w:name="index 2"/>
    <w:lsdException w:qFormat="1" w:unhideWhenUsed="0" w:uiPriority="0" w:name="index 3"/>
    <w:lsdException w:qFormat="1" w:unhideWhenUsed="0" w:uiPriority="0" w:name="index 4"/>
    <w:lsdException w:unhideWhenUsed="0" w:uiPriority="0" w:name="index 5"/>
    <w:lsdException w:qFormat="1" w:unhideWhenUsed="0" w:uiPriority="0" w:name="index 6"/>
    <w:lsdException w:unhideWhenUsed="0" w:uiPriority="0" w:name="index 7"/>
    <w:lsdException w:qFormat="1" w:unhideWhenUsed="0" w:uiPriority="0" w:name="index 8"/>
    <w:lsdException w:unhideWhenUsed="0" w:uiPriority="0" w:name="index 9"/>
    <w:lsdException w:unhideWhenUsed="0" w:uiPriority="39" w:semiHidden="0" w:name="toc 1"/>
    <w:lsdException w:unhideWhenUsed="0" w:uiPriority="39" w:semiHidden="0" w:name="toc 2"/>
    <w:lsdException w:qFormat="1" w:unhideWhenUsed="0" w:uiPriority="39" w:semiHidden="0" w:name="toc 3"/>
    <w:lsdException w:qFormat="1" w:unhideWhenUsed="0" w:uiPriority="0" w:name="toc 4"/>
    <w:lsdException w:qFormat="1" w:unhideWhenUsed="0" w:uiPriority="0" w:name="toc 5"/>
    <w:lsdException w:qFormat="1" w:unhideWhenUsed="0" w:uiPriority="0" w:name="toc 6"/>
    <w:lsdException w:qFormat="1" w:unhideWhenUsed="0" w:uiPriority="0" w:name="toc 7"/>
    <w:lsdException w:qFormat="1" w:unhideWhenUsed="0" w:uiPriority="0" w:name="toc 8"/>
    <w:lsdException w:qFormat="1" w:unhideWhenUsed="0" w:uiPriority="0" w:name="toc 9"/>
    <w:lsdException w:qFormat="1" w:unhideWhenUsed="0" w:uiPriority="0" w:semiHidden="0" w:name="Normal Indent"/>
    <w:lsdException w:unhideWhenUsed="0" w:uiPriority="0" w:semiHidden="0" w:name="footnote text"/>
    <w:lsdException w:qFormat="1" w:unhideWhenUsed="0" w:uiPriority="0" w:name="annotation text"/>
    <w:lsdException w:qFormat="1" w:unhideWhenUsed="0" w:uiPriority="0" w:semiHidden="0" w:name="header"/>
    <w:lsdException w:qFormat="1" w:unhideWhenUsed="0" w:uiPriority="0" w:semiHidden="0" w:name="footer"/>
    <w:lsdException w:unhideWhenUsed="0" w:uiPriority="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qFormat="1" w:unhideWhenUsed="0" w:uiPriority="0" w:name="table of authorities"/>
    <w:lsdException w:unhideWhenUsed="0" w:uiPriority="0" w:semiHidden="0" w:name="macro"/>
    <w:lsdException w:qFormat="1" w:unhideWhenUsed="0" w:uiPriority="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nhideWhenUsed="0" w:uiPriority="0" w:semiHidden="0" w:name="Block Text"/>
    <w:lsdException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lang w:val="en-US" w:eastAsia="zh-CN" w:bidi="ar-SA"/>
    </w:rPr>
  </w:style>
  <w:style w:type="paragraph" w:styleId="3">
    <w:name w:val="heading 1"/>
    <w:basedOn w:val="1"/>
    <w:next w:val="1"/>
    <w:qFormat/>
    <w:uiPriority w:val="0"/>
    <w:pPr>
      <w:keepNext/>
      <w:keepLines/>
      <w:spacing w:before="340" w:after="330" w:line="578" w:lineRule="auto"/>
      <w:outlineLvl w:val="0"/>
    </w:pPr>
    <w:rPr>
      <w:b/>
      <w:bCs/>
      <w:kern w:val="44"/>
      <w:sz w:val="30"/>
      <w:szCs w:val="44"/>
    </w:rPr>
  </w:style>
  <w:style w:type="paragraph" w:styleId="4">
    <w:name w:val="heading 2"/>
    <w:basedOn w:val="1"/>
    <w:next w:val="1"/>
    <w:qFormat/>
    <w:uiPriority w:val="0"/>
    <w:pPr>
      <w:keepNext/>
      <w:keepLines/>
      <w:spacing w:before="260" w:after="260" w:line="416" w:lineRule="auto"/>
      <w:ind w:firstLine="628"/>
      <w:jc w:val="center"/>
      <w:outlineLvl w:val="1"/>
    </w:pPr>
    <w:rPr>
      <w:rFonts w:ascii="Arial" w:hAnsi="Arial" w:eastAsia="黑体"/>
      <w:b/>
      <w:bCs/>
      <w:sz w:val="32"/>
      <w:szCs w:val="32"/>
    </w:rPr>
  </w:style>
  <w:style w:type="paragraph" w:styleId="5">
    <w:name w:val="heading 3"/>
    <w:basedOn w:val="1"/>
    <w:next w:val="1"/>
    <w:link w:val="58"/>
    <w:qFormat/>
    <w:uiPriority w:val="0"/>
    <w:pPr>
      <w:keepNext/>
      <w:keepLines/>
      <w:spacing w:before="260" w:after="260" w:line="416" w:lineRule="auto"/>
      <w:jc w:val="center"/>
      <w:outlineLvl w:val="2"/>
    </w:pPr>
    <w:rPr>
      <w:rFonts w:ascii="宋体"/>
      <w:b/>
      <w:bCs/>
      <w:sz w:val="32"/>
      <w:szCs w:val="32"/>
    </w:rPr>
  </w:style>
  <w:style w:type="paragraph" w:styleId="6">
    <w:name w:val="heading 4"/>
    <w:basedOn w:val="1"/>
    <w:next w:val="1"/>
    <w:qFormat/>
    <w:uiPriority w:val="0"/>
    <w:pPr>
      <w:keepNext/>
      <w:keepLines/>
      <w:spacing w:before="280" w:after="290" w:line="376" w:lineRule="auto"/>
      <w:outlineLvl w:val="3"/>
    </w:pPr>
    <w:rPr>
      <w:rFonts w:ascii="Arial" w:hAnsi="Arial" w:eastAsia="黑体"/>
      <w:b/>
      <w:bCs/>
      <w:sz w:val="28"/>
      <w:szCs w:val="28"/>
    </w:rPr>
  </w:style>
  <w:style w:type="paragraph" w:styleId="7">
    <w:name w:val="heading 5"/>
    <w:basedOn w:val="1"/>
    <w:next w:val="1"/>
    <w:qFormat/>
    <w:uiPriority w:val="0"/>
    <w:pPr>
      <w:keepNext/>
      <w:outlineLvl w:val="4"/>
    </w:pPr>
    <w:rPr>
      <w:rFonts w:ascii="宋体" w:hAnsi="Arial"/>
      <w:bCs/>
      <w:sz w:val="28"/>
    </w:rPr>
  </w:style>
  <w:style w:type="paragraph" w:styleId="8">
    <w:name w:val="heading 6"/>
    <w:basedOn w:val="1"/>
    <w:next w:val="1"/>
    <w:qFormat/>
    <w:uiPriority w:val="0"/>
    <w:pPr>
      <w:keepNext/>
      <w:autoSpaceDE w:val="0"/>
      <w:autoSpaceDN w:val="0"/>
      <w:adjustRightInd w:val="0"/>
      <w:spacing w:before="120" w:beforeLines="50" w:after="120" w:afterLines="50" w:line="300" w:lineRule="exact"/>
      <w:jc w:val="center"/>
      <w:outlineLvl w:val="5"/>
    </w:pPr>
    <w:rPr>
      <w:rFonts w:ascii="宋体" w:hAnsi="宋体"/>
      <w:kern w:val="0"/>
      <w:sz w:val="28"/>
    </w:rPr>
  </w:style>
  <w:style w:type="paragraph" w:styleId="9">
    <w:name w:val="heading 7"/>
    <w:basedOn w:val="1"/>
    <w:next w:val="1"/>
    <w:qFormat/>
    <w:uiPriority w:val="0"/>
    <w:pPr>
      <w:keepNext/>
      <w:keepLines/>
      <w:spacing w:before="240" w:after="64" w:line="320" w:lineRule="auto"/>
      <w:ind w:right="-24" w:rightChars="-10" w:firstLine="464" w:firstLineChars="225"/>
      <w:jc w:val="left"/>
      <w:outlineLvl w:val="6"/>
    </w:pPr>
    <w:rPr>
      <w:rFonts w:ascii="Arial" w:hAnsi="Arial" w:eastAsia="仿宋_GB2312" w:cs="Arial"/>
      <w:b/>
      <w:bCs/>
      <w:spacing w:val="-4"/>
      <w:sz w:val="24"/>
      <w:szCs w:val="24"/>
    </w:rPr>
  </w:style>
  <w:style w:type="character" w:default="1" w:styleId="51">
    <w:name w:val="Default Paragraph Font"/>
    <w:semiHidden/>
    <w:qFormat/>
    <w:uiPriority w:val="0"/>
  </w:style>
  <w:style w:type="table" w:default="1" w:styleId="49">
    <w:name w:val="Normal Table"/>
    <w:semiHidden/>
    <w:qFormat/>
    <w:uiPriority w:val="0"/>
    <w:tblPr>
      <w:tblCellMar>
        <w:top w:w="0" w:type="dxa"/>
        <w:left w:w="108" w:type="dxa"/>
        <w:bottom w:w="0" w:type="dxa"/>
        <w:right w:w="108" w:type="dxa"/>
      </w:tblCellMar>
    </w:tblPr>
  </w:style>
  <w:style w:type="paragraph" w:styleId="2">
    <w:name w:val="Normal Indent"/>
    <w:basedOn w:val="1"/>
    <w:qFormat/>
    <w:uiPriority w:val="0"/>
    <w:pPr>
      <w:ind w:firstLine="420" w:firstLineChars="200"/>
    </w:pPr>
  </w:style>
  <w:style w:type="paragraph" w:styleId="10">
    <w:name w:val="toc 7"/>
    <w:basedOn w:val="1"/>
    <w:next w:val="1"/>
    <w:semiHidden/>
    <w:qFormat/>
    <w:uiPriority w:val="0"/>
    <w:pPr>
      <w:ind w:left="1260"/>
      <w:jc w:val="left"/>
    </w:pPr>
    <w:rPr>
      <w:szCs w:val="21"/>
    </w:rPr>
  </w:style>
  <w:style w:type="paragraph" w:styleId="11">
    <w:name w:val="table of authorities"/>
    <w:basedOn w:val="1"/>
    <w:next w:val="1"/>
    <w:semiHidden/>
    <w:qFormat/>
    <w:uiPriority w:val="0"/>
    <w:pPr>
      <w:ind w:left="420" w:leftChars="200"/>
    </w:pPr>
  </w:style>
  <w:style w:type="paragraph" w:styleId="12">
    <w:name w:val="index 8"/>
    <w:basedOn w:val="1"/>
    <w:next w:val="1"/>
    <w:semiHidden/>
    <w:qFormat/>
    <w:uiPriority w:val="0"/>
    <w:pPr>
      <w:ind w:left="1400" w:leftChars="1400"/>
    </w:pPr>
  </w:style>
  <w:style w:type="paragraph" w:styleId="13">
    <w:name w:val="index 5"/>
    <w:basedOn w:val="1"/>
    <w:next w:val="1"/>
    <w:semiHidden/>
    <w:uiPriority w:val="0"/>
    <w:pPr>
      <w:ind w:left="800" w:leftChars="800"/>
    </w:pPr>
  </w:style>
  <w:style w:type="paragraph" w:styleId="14">
    <w:name w:val="Document Map"/>
    <w:basedOn w:val="1"/>
    <w:semiHidden/>
    <w:qFormat/>
    <w:uiPriority w:val="0"/>
    <w:pPr>
      <w:shd w:val="clear" w:color="auto" w:fill="000080"/>
    </w:pPr>
  </w:style>
  <w:style w:type="paragraph" w:styleId="15">
    <w:name w:val="toa heading"/>
    <w:basedOn w:val="1"/>
    <w:next w:val="1"/>
    <w:semiHidden/>
    <w:qFormat/>
    <w:uiPriority w:val="0"/>
    <w:pPr>
      <w:spacing w:before="120"/>
    </w:pPr>
    <w:rPr>
      <w:rFonts w:ascii="Arial" w:hAnsi="Arial"/>
      <w:b/>
      <w:bCs/>
      <w:szCs w:val="24"/>
    </w:rPr>
  </w:style>
  <w:style w:type="paragraph" w:styleId="16">
    <w:name w:val="annotation text"/>
    <w:basedOn w:val="1"/>
    <w:link w:val="59"/>
    <w:semiHidden/>
    <w:qFormat/>
    <w:uiPriority w:val="0"/>
    <w:pPr>
      <w:jc w:val="left"/>
    </w:pPr>
  </w:style>
  <w:style w:type="paragraph" w:styleId="17">
    <w:name w:val="index 6"/>
    <w:basedOn w:val="1"/>
    <w:next w:val="1"/>
    <w:semiHidden/>
    <w:qFormat/>
    <w:uiPriority w:val="0"/>
    <w:pPr>
      <w:ind w:left="1000" w:leftChars="1000"/>
    </w:pPr>
  </w:style>
  <w:style w:type="paragraph" w:styleId="18">
    <w:name w:val="Body Text 3"/>
    <w:basedOn w:val="1"/>
    <w:qFormat/>
    <w:uiPriority w:val="0"/>
    <w:rPr>
      <w:rFonts w:ascii="黑体" w:hAnsi="Arial" w:eastAsia="黑体"/>
      <w:b/>
      <w:sz w:val="28"/>
    </w:rPr>
  </w:style>
  <w:style w:type="paragraph" w:styleId="19">
    <w:name w:val="Body Text"/>
    <w:basedOn w:val="1"/>
    <w:qFormat/>
    <w:uiPriority w:val="0"/>
    <w:rPr>
      <w:rFonts w:ascii="宋体" w:hAnsi="Arial"/>
      <w:sz w:val="28"/>
    </w:rPr>
  </w:style>
  <w:style w:type="paragraph" w:styleId="20">
    <w:name w:val="Body Text Indent"/>
    <w:basedOn w:val="1"/>
    <w:next w:val="21"/>
    <w:link w:val="60"/>
    <w:uiPriority w:val="0"/>
    <w:pPr>
      <w:ind w:firstLine="645"/>
    </w:pPr>
    <w:rPr>
      <w:rFonts w:ascii="楷体_GB2312" w:eastAsia="楷体_GB2312"/>
      <w:sz w:val="32"/>
    </w:rPr>
  </w:style>
  <w:style w:type="paragraph" w:styleId="21">
    <w:name w:val="envelope return"/>
    <w:basedOn w:val="1"/>
    <w:qFormat/>
    <w:uiPriority w:val="0"/>
    <w:pPr>
      <w:snapToGrid w:val="0"/>
    </w:pPr>
    <w:rPr>
      <w:rFonts w:ascii="Arial" w:hAnsi="Arial"/>
    </w:rPr>
  </w:style>
  <w:style w:type="paragraph" w:styleId="22">
    <w:name w:val="index 4"/>
    <w:basedOn w:val="1"/>
    <w:next w:val="1"/>
    <w:semiHidden/>
    <w:qFormat/>
    <w:uiPriority w:val="0"/>
    <w:pPr>
      <w:ind w:left="600" w:leftChars="600"/>
    </w:pPr>
  </w:style>
  <w:style w:type="paragraph" w:styleId="23">
    <w:name w:val="toc 5"/>
    <w:basedOn w:val="1"/>
    <w:next w:val="1"/>
    <w:semiHidden/>
    <w:qFormat/>
    <w:uiPriority w:val="0"/>
    <w:pPr>
      <w:ind w:left="840"/>
      <w:jc w:val="left"/>
    </w:pPr>
    <w:rPr>
      <w:szCs w:val="21"/>
    </w:rPr>
  </w:style>
  <w:style w:type="paragraph" w:styleId="24">
    <w:name w:val="toc 3"/>
    <w:basedOn w:val="1"/>
    <w:next w:val="1"/>
    <w:qFormat/>
    <w:uiPriority w:val="39"/>
    <w:pPr>
      <w:ind w:left="420"/>
      <w:jc w:val="left"/>
    </w:pPr>
    <w:rPr>
      <w:i/>
      <w:iCs/>
      <w:szCs w:val="24"/>
    </w:rPr>
  </w:style>
  <w:style w:type="paragraph" w:styleId="25">
    <w:name w:val="Plain Text"/>
    <w:basedOn w:val="1"/>
    <w:uiPriority w:val="0"/>
    <w:rPr>
      <w:rFonts w:ascii="宋体" w:hAnsi="Courier New"/>
    </w:rPr>
  </w:style>
  <w:style w:type="paragraph" w:styleId="26">
    <w:name w:val="toc 8"/>
    <w:basedOn w:val="1"/>
    <w:next w:val="1"/>
    <w:semiHidden/>
    <w:qFormat/>
    <w:uiPriority w:val="0"/>
    <w:pPr>
      <w:ind w:left="1470"/>
      <w:jc w:val="left"/>
    </w:pPr>
    <w:rPr>
      <w:szCs w:val="21"/>
    </w:rPr>
  </w:style>
  <w:style w:type="paragraph" w:styleId="27">
    <w:name w:val="index 3"/>
    <w:basedOn w:val="1"/>
    <w:next w:val="1"/>
    <w:semiHidden/>
    <w:qFormat/>
    <w:uiPriority w:val="0"/>
    <w:pPr>
      <w:ind w:left="400" w:leftChars="400"/>
    </w:pPr>
  </w:style>
  <w:style w:type="paragraph" w:styleId="28">
    <w:name w:val="Date"/>
    <w:basedOn w:val="1"/>
    <w:next w:val="1"/>
    <w:link w:val="61"/>
    <w:qFormat/>
    <w:uiPriority w:val="0"/>
    <w:rPr>
      <w:b/>
      <w:sz w:val="28"/>
    </w:rPr>
  </w:style>
  <w:style w:type="paragraph" w:styleId="29">
    <w:name w:val="Body Text Indent 2"/>
    <w:basedOn w:val="1"/>
    <w:qFormat/>
    <w:uiPriority w:val="0"/>
    <w:pPr>
      <w:ind w:left="630" w:firstLine="645"/>
    </w:pPr>
    <w:rPr>
      <w:rFonts w:ascii="Arial" w:hAnsi="Arial" w:eastAsia="仿宋_GB2312"/>
      <w:sz w:val="32"/>
    </w:rPr>
  </w:style>
  <w:style w:type="paragraph" w:styleId="30">
    <w:name w:val="Balloon Text"/>
    <w:basedOn w:val="1"/>
    <w:semiHidden/>
    <w:uiPriority w:val="0"/>
    <w:rPr>
      <w:sz w:val="18"/>
      <w:szCs w:val="18"/>
    </w:rPr>
  </w:style>
  <w:style w:type="paragraph" w:styleId="31">
    <w:name w:val="footer"/>
    <w:basedOn w:val="1"/>
    <w:qFormat/>
    <w:uiPriority w:val="0"/>
    <w:pPr>
      <w:tabs>
        <w:tab w:val="center" w:pos="4153"/>
        <w:tab w:val="right" w:pos="8306"/>
      </w:tabs>
      <w:snapToGrid w:val="0"/>
      <w:jc w:val="left"/>
    </w:pPr>
    <w:rPr>
      <w:sz w:val="18"/>
    </w:rPr>
  </w:style>
  <w:style w:type="paragraph" w:styleId="32">
    <w:name w:val="header"/>
    <w:basedOn w:val="1"/>
    <w:link w:val="62"/>
    <w:qFormat/>
    <w:uiPriority w:val="0"/>
    <w:pPr>
      <w:pBdr>
        <w:bottom w:val="single" w:color="auto" w:sz="6" w:space="1"/>
      </w:pBdr>
      <w:tabs>
        <w:tab w:val="center" w:pos="4153"/>
        <w:tab w:val="right" w:pos="8306"/>
      </w:tabs>
      <w:snapToGrid w:val="0"/>
      <w:jc w:val="center"/>
    </w:pPr>
    <w:rPr>
      <w:sz w:val="18"/>
    </w:rPr>
  </w:style>
  <w:style w:type="paragraph" w:styleId="33">
    <w:name w:val="toc 1"/>
    <w:basedOn w:val="1"/>
    <w:next w:val="1"/>
    <w:uiPriority w:val="39"/>
    <w:pPr>
      <w:spacing w:before="120" w:after="120"/>
      <w:jc w:val="left"/>
    </w:pPr>
    <w:rPr>
      <w:caps/>
      <w:szCs w:val="24"/>
    </w:rPr>
  </w:style>
  <w:style w:type="paragraph" w:styleId="34">
    <w:name w:val="toc 4"/>
    <w:basedOn w:val="1"/>
    <w:next w:val="1"/>
    <w:semiHidden/>
    <w:qFormat/>
    <w:uiPriority w:val="0"/>
    <w:pPr>
      <w:ind w:left="630"/>
      <w:jc w:val="left"/>
    </w:pPr>
    <w:rPr>
      <w:szCs w:val="21"/>
    </w:rPr>
  </w:style>
  <w:style w:type="paragraph" w:styleId="35">
    <w:name w:val="index heading"/>
    <w:basedOn w:val="1"/>
    <w:next w:val="36"/>
    <w:semiHidden/>
    <w:uiPriority w:val="0"/>
  </w:style>
  <w:style w:type="paragraph" w:styleId="36">
    <w:name w:val="index 1"/>
    <w:basedOn w:val="1"/>
    <w:next w:val="1"/>
    <w:semiHidden/>
    <w:uiPriority w:val="0"/>
    <w:pPr>
      <w:jc w:val="center"/>
    </w:pPr>
    <w:rPr>
      <w:rFonts w:ascii="仿宋_GB2312" w:eastAsia="仿宋_GB2312"/>
      <w:b/>
      <w:bCs/>
      <w:sz w:val="28"/>
    </w:rPr>
  </w:style>
  <w:style w:type="paragraph" w:styleId="37">
    <w:name w:val="toc 6"/>
    <w:basedOn w:val="1"/>
    <w:next w:val="1"/>
    <w:semiHidden/>
    <w:qFormat/>
    <w:uiPriority w:val="0"/>
    <w:pPr>
      <w:ind w:left="1050"/>
      <w:jc w:val="left"/>
    </w:pPr>
    <w:rPr>
      <w:szCs w:val="21"/>
    </w:rPr>
  </w:style>
  <w:style w:type="paragraph" w:styleId="38">
    <w:name w:val="Body Text Indent 3"/>
    <w:basedOn w:val="1"/>
    <w:qFormat/>
    <w:uiPriority w:val="0"/>
    <w:pPr>
      <w:ind w:firstLine="645"/>
    </w:pPr>
    <w:rPr>
      <w:rFonts w:ascii="仿宋_GB2312" w:hAnsi="Arial" w:eastAsia="仿宋_GB2312"/>
      <w:color w:val="000000"/>
      <w:sz w:val="30"/>
    </w:rPr>
  </w:style>
  <w:style w:type="paragraph" w:styleId="39">
    <w:name w:val="index 7"/>
    <w:basedOn w:val="1"/>
    <w:next w:val="1"/>
    <w:semiHidden/>
    <w:uiPriority w:val="0"/>
    <w:pPr>
      <w:ind w:left="1200" w:leftChars="1200"/>
    </w:pPr>
  </w:style>
  <w:style w:type="paragraph" w:styleId="40">
    <w:name w:val="index 9"/>
    <w:basedOn w:val="1"/>
    <w:next w:val="1"/>
    <w:semiHidden/>
    <w:uiPriority w:val="0"/>
    <w:pPr>
      <w:ind w:left="1600" w:leftChars="1600"/>
    </w:pPr>
  </w:style>
  <w:style w:type="paragraph" w:styleId="41">
    <w:name w:val="toc 2"/>
    <w:basedOn w:val="1"/>
    <w:next w:val="1"/>
    <w:uiPriority w:val="39"/>
    <w:pPr>
      <w:ind w:left="210"/>
      <w:jc w:val="left"/>
    </w:pPr>
    <w:rPr>
      <w:smallCaps/>
      <w:sz w:val="28"/>
      <w:szCs w:val="24"/>
    </w:rPr>
  </w:style>
  <w:style w:type="paragraph" w:styleId="42">
    <w:name w:val="toc 9"/>
    <w:basedOn w:val="1"/>
    <w:next w:val="1"/>
    <w:semiHidden/>
    <w:qFormat/>
    <w:uiPriority w:val="0"/>
    <w:pPr>
      <w:ind w:left="1680"/>
      <w:jc w:val="left"/>
    </w:pPr>
    <w:rPr>
      <w:szCs w:val="21"/>
    </w:rPr>
  </w:style>
  <w:style w:type="paragraph" w:styleId="43">
    <w:name w:val="Body Text 2"/>
    <w:basedOn w:val="1"/>
    <w:uiPriority w:val="0"/>
    <w:rPr>
      <w:rFonts w:ascii="仿宋_GB2312" w:eastAsia="仿宋_GB2312"/>
      <w:b/>
      <w:sz w:val="24"/>
    </w:rPr>
  </w:style>
  <w:style w:type="paragraph" w:styleId="44">
    <w:name w:val="HTML Preformatted"/>
    <w:basedOn w:val="1"/>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30" w:lineRule="atLeast"/>
      <w:jc w:val="left"/>
    </w:pPr>
    <w:rPr>
      <w:rFonts w:ascii="Arial" w:hAnsi="Arial" w:cs="Arial"/>
      <w:kern w:val="0"/>
      <w:szCs w:val="21"/>
    </w:rPr>
  </w:style>
  <w:style w:type="paragraph" w:styleId="45">
    <w:name w:val="Normal (Web)"/>
    <w:basedOn w:val="1"/>
    <w:uiPriority w:val="0"/>
    <w:pPr>
      <w:widowControl/>
      <w:spacing w:before="100" w:beforeAutospacing="1" w:after="100" w:afterAutospacing="1"/>
      <w:jc w:val="left"/>
    </w:pPr>
    <w:rPr>
      <w:rFonts w:ascii="宋体" w:hAnsi="宋体"/>
      <w:kern w:val="0"/>
      <w:sz w:val="24"/>
      <w:szCs w:val="24"/>
    </w:rPr>
  </w:style>
  <w:style w:type="paragraph" w:styleId="46">
    <w:name w:val="index 2"/>
    <w:basedOn w:val="1"/>
    <w:next w:val="1"/>
    <w:semiHidden/>
    <w:qFormat/>
    <w:uiPriority w:val="0"/>
    <w:pPr>
      <w:ind w:left="200" w:leftChars="200"/>
    </w:pPr>
  </w:style>
  <w:style w:type="paragraph" w:styleId="47">
    <w:name w:val="annotation subject"/>
    <w:basedOn w:val="16"/>
    <w:next w:val="16"/>
    <w:link w:val="63"/>
    <w:qFormat/>
    <w:uiPriority w:val="0"/>
  </w:style>
  <w:style w:type="paragraph" w:styleId="48">
    <w:name w:val="Body Text First Indent"/>
    <w:basedOn w:val="1"/>
    <w:uiPriority w:val="0"/>
    <w:pPr>
      <w:autoSpaceDE w:val="0"/>
      <w:autoSpaceDN w:val="0"/>
      <w:adjustRightInd w:val="0"/>
      <w:spacing w:line="360" w:lineRule="auto"/>
      <w:ind w:right="-24" w:rightChars="-10" w:firstLine="425" w:firstLineChars="225"/>
    </w:pPr>
    <w:rPr>
      <w:rFonts w:ascii="Arial" w:hAnsi="Arial" w:eastAsia="仿宋_GB2312" w:cs="Arial"/>
      <w:kern w:val="0"/>
      <w:sz w:val="24"/>
      <w:szCs w:val="32"/>
    </w:rPr>
  </w:style>
  <w:style w:type="table" w:styleId="50">
    <w:name w:val="Table Grid"/>
    <w:basedOn w:val="49"/>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52">
    <w:name w:val="Strong"/>
    <w:qFormat/>
    <w:uiPriority w:val="0"/>
    <w:rPr>
      <w:b/>
      <w:bCs/>
    </w:rPr>
  </w:style>
  <w:style w:type="character" w:styleId="53">
    <w:name w:val="page number"/>
    <w:uiPriority w:val="0"/>
  </w:style>
  <w:style w:type="character" w:styleId="54">
    <w:name w:val="FollowedHyperlink"/>
    <w:uiPriority w:val="0"/>
    <w:rPr>
      <w:color w:val="800080"/>
      <w:u w:val="single"/>
    </w:rPr>
  </w:style>
  <w:style w:type="character" w:styleId="55">
    <w:name w:val="Emphasis"/>
    <w:qFormat/>
    <w:uiPriority w:val="0"/>
    <w:rPr>
      <w:color w:val="CC0033"/>
    </w:rPr>
  </w:style>
  <w:style w:type="character" w:styleId="56">
    <w:name w:val="Hyperlink"/>
    <w:uiPriority w:val="99"/>
    <w:rPr>
      <w:color w:val="0000FF"/>
      <w:u w:val="single"/>
    </w:rPr>
  </w:style>
  <w:style w:type="character" w:styleId="57">
    <w:name w:val="annotation reference"/>
    <w:uiPriority w:val="0"/>
    <w:rPr>
      <w:sz w:val="21"/>
      <w:szCs w:val="21"/>
    </w:rPr>
  </w:style>
  <w:style w:type="character" w:customStyle="1" w:styleId="58">
    <w:name w:val="标题 3 字符"/>
    <w:link w:val="5"/>
    <w:qFormat/>
    <w:uiPriority w:val="0"/>
    <w:rPr>
      <w:rFonts w:ascii="宋体" w:eastAsia="宋体"/>
      <w:b/>
      <w:bCs/>
      <w:kern w:val="2"/>
      <w:sz w:val="32"/>
      <w:szCs w:val="32"/>
      <w:lang w:val="en-US" w:eastAsia="zh-CN" w:bidi="ar-SA"/>
    </w:rPr>
  </w:style>
  <w:style w:type="character" w:customStyle="1" w:styleId="59">
    <w:name w:val="批注文字 字符"/>
    <w:link w:val="16"/>
    <w:qFormat/>
    <w:uiPriority w:val="0"/>
    <w:rPr>
      <w:rFonts w:eastAsia="宋体"/>
      <w:kern w:val="2"/>
      <w:sz w:val="21"/>
      <w:lang w:val="en-US" w:eastAsia="zh-CN" w:bidi="ar-SA"/>
    </w:rPr>
  </w:style>
  <w:style w:type="character" w:customStyle="1" w:styleId="60">
    <w:name w:val="正文文本缩进 字符"/>
    <w:link w:val="20"/>
    <w:qFormat/>
    <w:uiPriority w:val="0"/>
    <w:rPr>
      <w:rFonts w:ascii="楷体_GB2312" w:eastAsia="楷体_GB2312"/>
      <w:kern w:val="2"/>
      <w:sz w:val="32"/>
      <w:lang w:val="en-US" w:eastAsia="zh-CN" w:bidi="ar-SA"/>
    </w:rPr>
  </w:style>
  <w:style w:type="character" w:customStyle="1" w:styleId="61">
    <w:name w:val="日期 字符"/>
    <w:link w:val="28"/>
    <w:qFormat/>
    <w:uiPriority w:val="0"/>
    <w:rPr>
      <w:rFonts w:eastAsia="宋体"/>
      <w:b/>
      <w:kern w:val="2"/>
      <w:sz w:val="28"/>
      <w:lang w:val="en-US" w:eastAsia="zh-CN" w:bidi="ar-SA"/>
    </w:rPr>
  </w:style>
  <w:style w:type="character" w:customStyle="1" w:styleId="62">
    <w:name w:val="页眉 字符"/>
    <w:link w:val="32"/>
    <w:qFormat/>
    <w:locked/>
    <w:uiPriority w:val="0"/>
    <w:rPr>
      <w:rFonts w:eastAsia="宋体"/>
      <w:kern w:val="2"/>
      <w:sz w:val="18"/>
      <w:lang w:val="en-US" w:eastAsia="zh-CN" w:bidi="ar-SA"/>
    </w:rPr>
  </w:style>
  <w:style w:type="character" w:customStyle="1" w:styleId="63">
    <w:name w:val="批注主题 字符"/>
    <w:link w:val="47"/>
    <w:semiHidden/>
    <w:qFormat/>
    <w:locked/>
    <w:uiPriority w:val="0"/>
    <w:rPr>
      <w:rFonts w:eastAsia="宋体"/>
      <w:kern w:val="2"/>
      <w:sz w:val="21"/>
      <w:lang w:val="en-US" w:eastAsia="zh-CN" w:bidi="ar-SA"/>
    </w:rPr>
  </w:style>
  <w:style w:type="character" w:customStyle="1" w:styleId="64">
    <w:name w:val=" Char Char3"/>
    <w:qFormat/>
    <w:uiPriority w:val="0"/>
    <w:rPr>
      <w:kern w:val="2"/>
      <w:sz w:val="18"/>
      <w:szCs w:val="18"/>
    </w:rPr>
  </w:style>
  <w:style w:type="character" w:customStyle="1" w:styleId="65">
    <w:name w:val="正文文本缩进 Char1"/>
    <w:semiHidden/>
    <w:qFormat/>
    <w:uiPriority w:val="99"/>
    <w:rPr>
      <w:kern w:val="2"/>
      <w:sz w:val="21"/>
    </w:rPr>
  </w:style>
  <w:style w:type="paragraph" w:customStyle="1" w:styleId="66">
    <w:name w:val=" Char"/>
    <w:basedOn w:val="1"/>
    <w:qFormat/>
    <w:uiPriority w:val="0"/>
    <w:rPr>
      <w:szCs w:val="24"/>
    </w:rPr>
  </w:style>
  <w:style w:type="paragraph" w:customStyle="1" w:styleId="67">
    <w:name w:val="SUR-需求定义-第4级"/>
    <w:basedOn w:val="6"/>
    <w:next w:val="1"/>
    <w:qFormat/>
    <w:uiPriority w:val="0"/>
    <w:pPr>
      <w:numPr>
        <w:ilvl w:val="3"/>
        <w:numId w:val="1"/>
      </w:numPr>
      <w:tabs>
        <w:tab w:val="left" w:pos="1080"/>
        <w:tab w:val="clear" w:pos="2934"/>
      </w:tabs>
      <w:spacing w:before="0" w:after="0"/>
      <w:ind w:left="-283" w:firstLine="283"/>
      <w:jc w:val="left"/>
    </w:pPr>
    <w:rPr>
      <w:rFonts w:cs="Arial"/>
      <w:b w:val="0"/>
      <w:color w:val="0000FF"/>
      <w:sz w:val="24"/>
      <w:szCs w:val="24"/>
    </w:rPr>
  </w:style>
  <w:style w:type="paragraph" w:customStyle="1" w:styleId="68">
    <w:name w:val="List Paragraph1"/>
    <w:basedOn w:val="1"/>
    <w:qFormat/>
    <w:uiPriority w:val="0"/>
    <w:pPr>
      <w:ind w:firstLine="420" w:firstLineChars="200"/>
    </w:pPr>
    <w:rPr>
      <w:rFonts w:ascii="Calibri" w:hAnsi="Calibri"/>
      <w:szCs w:val="22"/>
    </w:rPr>
  </w:style>
  <w:style w:type="paragraph" w:customStyle="1" w:styleId="69">
    <w:name w:val="font6"/>
    <w:basedOn w:val="1"/>
    <w:qFormat/>
    <w:uiPriority w:val="0"/>
    <w:pPr>
      <w:widowControl/>
      <w:spacing w:before="100" w:beforeAutospacing="1" w:after="100" w:afterAutospacing="1"/>
      <w:jc w:val="left"/>
    </w:pPr>
    <w:rPr>
      <w:rFonts w:hint="eastAsia" w:ascii="宋体" w:hAnsi="宋体"/>
      <w:kern w:val="0"/>
      <w:sz w:val="18"/>
      <w:szCs w:val="18"/>
    </w:rPr>
  </w:style>
  <w:style w:type="paragraph" w:customStyle="1" w:styleId="70">
    <w:name w:val="xl7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pPr>
    <w:rPr>
      <w:rFonts w:hint="eastAsia" w:ascii="幼圆" w:hAnsi="宋体" w:eastAsia="幼圆"/>
      <w:kern w:val="0"/>
      <w:sz w:val="32"/>
      <w:szCs w:val="32"/>
    </w:rPr>
  </w:style>
  <w:style w:type="paragraph" w:styleId="71">
    <w:name w:val="List Paragraph"/>
    <w:basedOn w:val="1"/>
    <w:qFormat/>
    <w:uiPriority w:val="0"/>
    <w:pPr>
      <w:ind w:firstLine="420" w:firstLineChars="200"/>
    </w:pPr>
    <w:rPr>
      <w:rFonts w:ascii="Calibri" w:hAnsi="Calibri"/>
      <w:szCs w:val="22"/>
    </w:rPr>
  </w:style>
  <w:style w:type="paragraph" w:customStyle="1" w:styleId="72">
    <w:name w:val="xl7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kern w:val="0"/>
      <w:sz w:val="32"/>
      <w:szCs w:val="32"/>
    </w:rPr>
  </w:style>
  <w:style w:type="paragraph" w:customStyle="1" w:styleId="73">
    <w:name w:val="xl6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hint="eastAsia" w:ascii="幼圆" w:hAnsi="宋体" w:eastAsia="幼圆"/>
      <w:kern w:val="0"/>
      <w:sz w:val="32"/>
      <w:szCs w:val="32"/>
    </w:rPr>
  </w:style>
  <w:style w:type="paragraph" w:customStyle="1" w:styleId="74">
    <w:name w:val="样式1"/>
    <w:basedOn w:val="1"/>
    <w:qFormat/>
    <w:uiPriority w:val="0"/>
    <w:pPr>
      <w:numPr>
        <w:ilvl w:val="0"/>
        <w:numId w:val="2"/>
      </w:numPr>
      <w:adjustRightInd w:val="0"/>
      <w:textAlignment w:val="baseline"/>
    </w:pPr>
    <w:rPr>
      <w:rFonts w:ascii="宋体" w:hAnsi="宋体"/>
      <w:kern w:val="0"/>
    </w:rPr>
  </w:style>
  <w:style w:type="paragraph" w:customStyle="1" w:styleId="75">
    <w:name w:val="font7"/>
    <w:basedOn w:val="1"/>
    <w:qFormat/>
    <w:uiPriority w:val="0"/>
    <w:pPr>
      <w:widowControl/>
      <w:spacing w:before="100" w:beforeAutospacing="1" w:after="100" w:afterAutospacing="1"/>
      <w:jc w:val="left"/>
    </w:pPr>
    <w:rPr>
      <w:rFonts w:hint="eastAsia" w:ascii="幼圆" w:hAnsi="宋体" w:eastAsia="幼圆"/>
      <w:kern w:val="0"/>
      <w:sz w:val="32"/>
      <w:szCs w:val="32"/>
    </w:rPr>
  </w:style>
  <w:style w:type="paragraph" w:customStyle="1" w:styleId="76">
    <w:name w:val="Char Char Char Char Char Char Char1 Char"/>
    <w:basedOn w:val="1"/>
    <w:qFormat/>
    <w:uiPriority w:val="0"/>
    <w:rPr>
      <w:rFonts w:ascii="Tahoma" w:hAnsi="Tahoma"/>
      <w:sz w:val="24"/>
    </w:rPr>
  </w:style>
  <w:style w:type="paragraph" w:customStyle="1" w:styleId="77">
    <w:name w:val="font5"/>
    <w:basedOn w:val="1"/>
    <w:qFormat/>
    <w:uiPriority w:val="0"/>
    <w:pPr>
      <w:widowControl/>
      <w:spacing w:before="100" w:beforeAutospacing="1" w:after="100" w:afterAutospacing="1"/>
      <w:jc w:val="left"/>
    </w:pPr>
    <w:rPr>
      <w:rFonts w:hint="eastAsia" w:ascii="宋体" w:hAnsi="宋体"/>
      <w:kern w:val="0"/>
      <w:sz w:val="18"/>
      <w:szCs w:val="18"/>
    </w:rPr>
  </w:style>
  <w:style w:type="paragraph" w:customStyle="1" w:styleId="78">
    <w:name w:val="一级标题"/>
    <w:basedOn w:val="1"/>
    <w:next w:val="79"/>
    <w:qFormat/>
    <w:uiPriority w:val="0"/>
    <w:pPr>
      <w:numPr>
        <w:ilvl w:val="2"/>
        <w:numId w:val="3"/>
      </w:numPr>
      <w:tabs>
        <w:tab w:val="left" w:pos="425"/>
      </w:tabs>
      <w:spacing w:afterLines="100"/>
      <w:ind w:left="850" w:hanging="425"/>
      <w:outlineLvl w:val="0"/>
    </w:pPr>
    <w:rPr>
      <w:rFonts w:ascii="黑体" w:eastAsia="黑体"/>
      <w:sz w:val="30"/>
      <w:szCs w:val="28"/>
    </w:rPr>
  </w:style>
  <w:style w:type="paragraph" w:customStyle="1" w:styleId="79">
    <w:name w:val="二级标题"/>
    <w:basedOn w:val="1"/>
    <w:next w:val="80"/>
    <w:qFormat/>
    <w:uiPriority w:val="0"/>
    <w:pPr>
      <w:numPr>
        <w:ilvl w:val="0"/>
        <w:numId w:val="3"/>
      </w:numPr>
      <w:tabs>
        <w:tab w:val="left" w:pos="992"/>
        <w:tab w:val="clear" w:pos="425"/>
      </w:tabs>
      <w:ind w:left="992" w:hanging="567"/>
      <w:outlineLvl w:val="1"/>
    </w:pPr>
    <w:rPr>
      <w:rFonts w:ascii="黑体" w:eastAsia="黑体"/>
      <w:sz w:val="28"/>
      <w:szCs w:val="24"/>
    </w:rPr>
  </w:style>
  <w:style w:type="paragraph" w:customStyle="1" w:styleId="80">
    <w:name w:val="文章正文"/>
    <w:basedOn w:val="1"/>
    <w:qFormat/>
    <w:uiPriority w:val="0"/>
    <w:pPr>
      <w:numPr>
        <w:ilvl w:val="1"/>
        <w:numId w:val="3"/>
      </w:numPr>
      <w:spacing w:beforeLines="50" w:afterLines="50" w:line="320" w:lineRule="exact"/>
      <w:ind w:left="0" w:firstLine="200" w:firstLineChars="200"/>
    </w:pPr>
    <w:rPr>
      <w:rFonts w:ascii="仿宋_GB2312" w:eastAsia="仿宋_GB2312"/>
      <w:sz w:val="28"/>
      <w:szCs w:val="24"/>
    </w:rPr>
  </w:style>
  <w:style w:type="paragraph" w:customStyle="1" w:styleId="81">
    <w:name w:val="正文（缩进）"/>
    <w:basedOn w:val="1"/>
    <w:qFormat/>
    <w:uiPriority w:val="0"/>
    <w:pPr>
      <w:widowControl/>
      <w:spacing w:before="156" w:after="156"/>
      <w:ind w:firstLine="480" w:firstLineChars="200"/>
      <w:jc w:val="left"/>
    </w:pPr>
    <w:rPr>
      <w:rFonts w:ascii="仿宋_GB2312" w:eastAsia="仿宋_GB2312"/>
      <w:kern w:val="0"/>
      <w:sz w:val="24"/>
      <w:szCs w:val="24"/>
    </w:rPr>
  </w:style>
  <w:style w:type="paragraph" w:customStyle="1" w:styleId="82">
    <w:name w:val="font9"/>
    <w:basedOn w:val="1"/>
    <w:qFormat/>
    <w:uiPriority w:val="0"/>
    <w:pPr>
      <w:widowControl/>
      <w:spacing w:before="100" w:beforeAutospacing="1" w:after="100" w:afterAutospacing="1"/>
      <w:jc w:val="left"/>
    </w:pPr>
    <w:rPr>
      <w:rFonts w:hint="eastAsia" w:ascii="幼圆" w:hAnsi="宋体" w:eastAsia="幼圆"/>
      <w:kern w:val="0"/>
      <w:sz w:val="32"/>
      <w:szCs w:val="32"/>
    </w:rPr>
  </w:style>
  <w:style w:type="paragraph" w:customStyle="1" w:styleId="83">
    <w:name w:val="font8"/>
    <w:basedOn w:val="1"/>
    <w:qFormat/>
    <w:uiPriority w:val="0"/>
    <w:pPr>
      <w:widowControl/>
      <w:spacing w:before="100" w:beforeAutospacing="1" w:after="100" w:afterAutospacing="1"/>
      <w:jc w:val="left"/>
    </w:pPr>
    <w:rPr>
      <w:rFonts w:hint="eastAsia" w:ascii="宋体" w:hAnsi="宋体"/>
      <w:color w:val="000000"/>
      <w:kern w:val="0"/>
      <w:sz w:val="32"/>
      <w:szCs w:val="32"/>
    </w:rPr>
  </w:style>
  <w:style w:type="paragraph" w:customStyle="1" w:styleId="84">
    <w:name w:val="Char"/>
    <w:basedOn w:val="1"/>
    <w:qFormat/>
    <w:uiPriority w:val="0"/>
    <w:rPr>
      <w:rFonts w:ascii="Tahoma" w:hAnsi="Tahoma"/>
      <w:sz w:val="24"/>
    </w:rPr>
  </w:style>
  <w:style w:type="paragraph" w:customStyle="1" w:styleId="85">
    <w:name w:val="Default Paragraph Char Char Char Char"/>
    <w:basedOn w:val="1"/>
    <w:next w:val="1"/>
    <w:qFormat/>
    <w:uiPriority w:val="0"/>
    <w:pPr>
      <w:widowControl/>
      <w:spacing w:line="360" w:lineRule="auto"/>
      <w:jc w:val="left"/>
    </w:pPr>
    <w:rPr>
      <w:szCs w:val="24"/>
    </w:rPr>
  </w:style>
  <w:style w:type="paragraph" w:customStyle="1" w:styleId="86">
    <w:name w:val="_Style 8"/>
    <w:basedOn w:val="1"/>
    <w:qFormat/>
    <w:uiPriority w:val="0"/>
  </w:style>
  <w:style w:type="paragraph" w:customStyle="1" w:styleId="87">
    <w:name w:val="xl6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kern w:val="0"/>
      <w:sz w:val="32"/>
      <w:szCs w:val="32"/>
    </w:rPr>
  </w:style>
  <w:style w:type="paragraph" w:customStyle="1" w:styleId="88">
    <w:name w:val="基本文字 Char"/>
    <w:basedOn w:val="1"/>
    <w:qFormat/>
    <w:uiPriority w:val="0"/>
    <w:pPr>
      <w:spacing w:before="156" w:line="400" w:lineRule="atLeast"/>
      <w:ind w:firstLine="540" w:firstLineChars="225"/>
    </w:pPr>
    <w:rPr>
      <w:sz w:val="24"/>
    </w:rPr>
  </w:style>
  <w:style w:type="paragraph" w:customStyle="1" w:styleId="89">
    <w:name w:val="D&amp;L"/>
    <w:basedOn w:val="32"/>
    <w:qFormat/>
    <w:uiPriority w:val="0"/>
    <w:pPr>
      <w:pBdr>
        <w:bottom w:val="thinThickSmallGap" w:color="auto" w:sz="18" w:space="1"/>
      </w:pBdr>
      <w:adjustRightInd w:val="0"/>
      <w:snapToGrid/>
      <w:spacing w:line="240" w:lineRule="atLeast"/>
      <w:textAlignment w:val="baseline"/>
    </w:pPr>
    <w:rPr>
      <w:kern w:val="0"/>
      <w:sz w:val="24"/>
    </w:rPr>
  </w:style>
  <w:style w:type="paragraph" w:customStyle="1" w:styleId="90">
    <w:name w:val="xl31"/>
    <w:basedOn w:val="1"/>
    <w:qFormat/>
    <w:uiPriority w:val="0"/>
    <w:pPr>
      <w:widowControl/>
      <w:spacing w:before="100" w:beforeAutospacing="1" w:after="100" w:afterAutospacing="1"/>
      <w:jc w:val="center"/>
    </w:pPr>
    <w:rPr>
      <w:rFonts w:ascii="宋体" w:hAnsi="宋体"/>
      <w:b/>
      <w:bCs/>
      <w:kern w:val="0"/>
      <w:sz w:val="28"/>
      <w:szCs w:val="28"/>
    </w:rPr>
  </w:style>
  <w:style w:type="paragraph" w:customStyle="1" w:styleId="91">
    <w:name w:val="Table Paragraph"/>
    <w:basedOn w:val="1"/>
    <w:qFormat/>
    <w:uiPriority w:val="1"/>
    <w:rPr>
      <w:rFonts w:ascii="宋体" w:hAnsi="宋体" w:eastAsia="宋体" w:cs="宋体"/>
      <w:lang w:val="zh-CN" w:eastAsia="zh-CN" w:bidi="zh-CN"/>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29</Pages>
  <Words>18721</Words>
  <Characters>19785</Characters>
  <Lines>159</Lines>
  <Paragraphs>44</Paragraphs>
  <TotalTime>11</TotalTime>
  <ScaleCrop>false</ScaleCrop>
  <LinksUpToDate>false</LinksUpToDate>
  <CharactersWithSpaces>20006</CharactersWithSpaces>
  <Application>WPS Office_11.1.0.11875_F1E327BC-269C-435d-A152-05C5408002CA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2020-11-25T06:17:00Z</dcterms:created>
  <dc:creator>何平</dc:creator>
  <cp:lastModifiedBy>hu</cp:lastModifiedBy>
  <cp:lastPrinted>2022-04-02T06:35:00Z</cp:lastPrinted>
  <dcterms:modified xsi:type="dcterms:W3CDTF">2022-07-22T06:26:11Z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2052-11.1.0.11875</vt:lpwstr>
  </property>
  <property fmtid="{D5CDD505-2E9C-101B-9397-08002B2CF9AE}" pid="3" name="ICV">
    <vt:lpwstr>B148F0CB0D944750815312FA89ACFEA1</vt:lpwstr>
  </property>
</Properties>
</file>